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宋体" w:hAnsi="宋体" w:eastAsia="宋体" w:cs="宋体"/>
          <w:b/>
          <w:bCs w:val="0"/>
          <w:kern w:val="0"/>
          <w:sz w:val="28"/>
          <w:szCs w:val="28"/>
        </w:rPr>
      </w:pPr>
      <w:r>
        <w:rPr>
          <w:rFonts w:hint="eastAsia" w:ascii="宋体" w:hAnsi="宋体" w:eastAsia="宋体" w:cs="宋体"/>
          <w:b/>
          <w:bCs w:val="0"/>
          <w:kern w:val="0"/>
          <w:sz w:val="28"/>
          <w:szCs w:val="28"/>
        </w:rPr>
        <w:t>附件</w:t>
      </w:r>
      <w:r>
        <w:rPr>
          <w:rFonts w:hint="eastAsia" w:ascii="宋体" w:hAnsi="宋体" w:eastAsia="宋体" w:cs="宋体"/>
          <w:b/>
          <w:bCs w:val="0"/>
          <w:kern w:val="0"/>
          <w:sz w:val="28"/>
          <w:szCs w:val="28"/>
          <w:lang w:val="en-US" w:eastAsia="zh-CN"/>
        </w:rPr>
        <w:t>1</w:t>
      </w:r>
      <w:r>
        <w:rPr>
          <w:rFonts w:hint="eastAsia" w:ascii="宋体" w:hAnsi="宋体" w:eastAsia="宋体" w:cs="宋体"/>
          <w:b/>
          <w:bCs w:val="0"/>
          <w:kern w:val="0"/>
          <w:sz w:val="28"/>
          <w:szCs w:val="28"/>
        </w:rPr>
        <w:t>：</w:t>
      </w:r>
    </w:p>
    <w:p>
      <w:pPr>
        <w:spacing w:line="560" w:lineRule="exact"/>
        <w:ind w:firstLine="2249" w:firstLineChars="800"/>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rPr>
        <w:t>电梯维修保养服务采购需求表</w:t>
      </w:r>
      <w:bookmarkStart w:id="0" w:name="_GoBack"/>
      <w:bookmarkEnd w:id="0"/>
    </w:p>
    <w:tbl>
      <w:tblPr>
        <w:tblStyle w:val="3"/>
        <w:tblW w:w="97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 w:type="dxa"/>
          <w:bottom w:w="0" w:type="dxa"/>
          <w:right w:w="10" w:type="dxa"/>
        </w:tblCellMar>
      </w:tblPr>
      <w:tblGrid>
        <w:gridCol w:w="556"/>
        <w:gridCol w:w="561"/>
        <w:gridCol w:w="276"/>
        <w:gridCol w:w="615"/>
        <w:gridCol w:w="816"/>
        <w:gridCol w:w="1923"/>
        <w:gridCol w:w="1830"/>
        <w:gridCol w:w="31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146" w:hRule="atLeast"/>
          <w:jc w:val="center"/>
        </w:trPr>
        <w:tc>
          <w:tcPr>
            <w:tcW w:w="9770" w:type="dxa"/>
            <w:gridSpan w:val="8"/>
            <w:tcBorders>
              <w:tl2br w:val="nil"/>
              <w:tr2bl w:val="nil"/>
            </w:tcBorders>
            <w:shd w:val="clear" w:color="auto" w:fill="FFFFFF"/>
            <w:noWrap w:val="0"/>
            <w:tcMar>
              <w:top w:w="0" w:type="dxa"/>
              <w:left w:w="0" w:type="dxa"/>
              <w:bottom w:w="0" w:type="dxa"/>
              <w:right w:w="0" w:type="dxa"/>
            </w:tcMar>
            <w:vAlign w:val="center"/>
          </w:tcPr>
          <w:p>
            <w:pPr>
              <w:spacing w:line="364"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一、项目要求及技术需求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146" w:hRule="atLeast"/>
          <w:jc w:val="center"/>
        </w:trPr>
        <w:tc>
          <w:tcPr>
            <w:tcW w:w="556" w:type="dxa"/>
            <w:tcBorders>
              <w:tl2br w:val="nil"/>
              <w:tr2bl w:val="nil"/>
            </w:tcBorders>
            <w:shd w:val="clear" w:color="auto" w:fill="FFFFFF"/>
            <w:noWrap w:val="0"/>
            <w:tcMar>
              <w:top w:w="0" w:type="dxa"/>
              <w:left w:w="0" w:type="dxa"/>
              <w:bottom w:w="0" w:type="dxa"/>
              <w:right w:w="0" w:type="dxa"/>
            </w:tcMar>
            <w:vAlign w:val="center"/>
          </w:tcPr>
          <w:p>
            <w:pPr>
              <w:spacing w:line="364"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项号</w:t>
            </w:r>
          </w:p>
        </w:tc>
        <w:tc>
          <w:tcPr>
            <w:tcW w:w="837" w:type="dxa"/>
            <w:gridSpan w:val="2"/>
            <w:tcBorders>
              <w:tl2br w:val="nil"/>
              <w:tr2bl w:val="nil"/>
            </w:tcBorders>
            <w:shd w:val="clear" w:color="auto" w:fill="FFFFFF"/>
            <w:noWrap w:val="0"/>
            <w:tcMar>
              <w:top w:w="0" w:type="dxa"/>
              <w:left w:w="0" w:type="dxa"/>
              <w:bottom w:w="0" w:type="dxa"/>
              <w:right w:w="0" w:type="dxa"/>
            </w:tcMar>
            <w:vAlign w:val="center"/>
          </w:tcPr>
          <w:p>
            <w:pPr>
              <w:spacing w:line="364" w:lineRule="exact"/>
              <w:jc w:val="center"/>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电梯</w:t>
            </w:r>
          </w:p>
          <w:p>
            <w:pPr>
              <w:spacing w:line="364" w:lineRule="exact"/>
              <w:jc w:val="center"/>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eastAsia="zh-CN"/>
              </w:rPr>
              <w:t>类型</w:t>
            </w:r>
          </w:p>
        </w:tc>
        <w:tc>
          <w:tcPr>
            <w:tcW w:w="615" w:type="dxa"/>
            <w:tcBorders>
              <w:tl2br w:val="nil"/>
              <w:tr2bl w:val="nil"/>
            </w:tcBorders>
            <w:shd w:val="clear" w:color="auto" w:fill="FFFFFF"/>
            <w:noWrap w:val="0"/>
            <w:tcMar>
              <w:top w:w="0" w:type="dxa"/>
              <w:left w:w="0" w:type="dxa"/>
              <w:bottom w:w="0" w:type="dxa"/>
              <w:right w:w="0" w:type="dxa"/>
            </w:tcMar>
            <w:vAlign w:val="center"/>
          </w:tcPr>
          <w:p>
            <w:pPr>
              <w:spacing w:line="364"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tc>
        <w:tc>
          <w:tcPr>
            <w:tcW w:w="816" w:type="dxa"/>
            <w:tcBorders>
              <w:tl2br w:val="nil"/>
              <w:tr2bl w:val="nil"/>
            </w:tcBorders>
            <w:shd w:val="clear" w:color="auto" w:fill="FFFFFF"/>
            <w:noWrap w:val="0"/>
            <w:tcMar>
              <w:top w:w="0" w:type="dxa"/>
              <w:left w:w="0" w:type="dxa"/>
              <w:bottom w:w="0" w:type="dxa"/>
              <w:right w:w="0" w:type="dxa"/>
            </w:tcMar>
            <w:vAlign w:val="center"/>
          </w:tcPr>
          <w:p>
            <w:pPr>
              <w:spacing w:line="364"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品牌</w:t>
            </w:r>
          </w:p>
        </w:tc>
        <w:tc>
          <w:tcPr>
            <w:tcW w:w="1923" w:type="dxa"/>
            <w:tcBorders>
              <w:tl2br w:val="nil"/>
              <w:tr2bl w:val="nil"/>
            </w:tcBorders>
            <w:shd w:val="clear" w:color="auto" w:fill="FFFFFF"/>
            <w:noWrap w:val="0"/>
            <w:vAlign w:val="center"/>
          </w:tcPr>
          <w:p>
            <w:pPr>
              <w:spacing w:line="364" w:lineRule="exact"/>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规格型号</w:t>
            </w:r>
            <w:r>
              <w:rPr>
                <w:rFonts w:hint="eastAsia" w:ascii="宋体" w:hAnsi="宋体" w:cs="宋体"/>
                <w:b/>
                <w:bCs/>
                <w:color w:val="auto"/>
                <w:sz w:val="21"/>
                <w:szCs w:val="21"/>
                <w:highlight w:val="none"/>
                <w:lang w:eastAsia="zh-CN"/>
              </w:rPr>
              <w:t>参数等</w:t>
            </w:r>
          </w:p>
        </w:tc>
        <w:tc>
          <w:tcPr>
            <w:tcW w:w="1830" w:type="dxa"/>
            <w:tcBorders>
              <w:tl2br w:val="nil"/>
              <w:tr2bl w:val="nil"/>
            </w:tcBorders>
            <w:shd w:val="clear" w:color="auto" w:fill="FFFFFF"/>
            <w:noWrap w:val="0"/>
            <w:vAlign w:val="center"/>
          </w:tcPr>
          <w:p>
            <w:pPr>
              <w:spacing w:line="364"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制造日期</w:t>
            </w:r>
          </w:p>
        </w:tc>
        <w:tc>
          <w:tcPr>
            <w:tcW w:w="3193" w:type="dxa"/>
            <w:tcBorders>
              <w:tl2br w:val="nil"/>
              <w:tr2bl w:val="nil"/>
            </w:tcBorders>
            <w:shd w:val="clear" w:color="auto" w:fill="FFFFFF"/>
            <w:noWrap w:val="0"/>
            <w:vAlign w:val="center"/>
          </w:tcPr>
          <w:p>
            <w:pPr>
              <w:spacing w:line="364"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电梯维护保养服务技术要求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1396" w:hRule="atLeast"/>
          <w:jc w:val="center"/>
        </w:trPr>
        <w:tc>
          <w:tcPr>
            <w:tcW w:w="556" w:type="dxa"/>
            <w:tcBorders>
              <w:tl2br w:val="nil"/>
              <w:tr2bl w:val="nil"/>
            </w:tcBorders>
            <w:shd w:val="clear" w:color="auto" w:fill="FFFFFF"/>
            <w:noWrap w:val="0"/>
            <w:tcMar>
              <w:top w:w="0" w:type="dxa"/>
              <w:left w:w="108" w:type="dxa"/>
              <w:bottom w:w="0" w:type="dxa"/>
              <w:right w:w="108" w:type="dxa"/>
            </w:tcMar>
            <w:vAlign w:val="center"/>
          </w:tcPr>
          <w:p>
            <w:pPr>
              <w:spacing w:line="364"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837" w:type="dxa"/>
            <w:gridSpan w:val="2"/>
            <w:tcBorders>
              <w:tl2br w:val="nil"/>
              <w:tr2bl w:val="nil"/>
            </w:tcBorders>
            <w:shd w:val="clear" w:color="auto" w:fill="FFFFFF"/>
            <w:noWrap w:val="0"/>
            <w:tcMar>
              <w:top w:w="0" w:type="dxa"/>
              <w:left w:w="108" w:type="dxa"/>
              <w:bottom w:w="0" w:type="dxa"/>
              <w:right w:w="108" w:type="dxa"/>
            </w:tcMar>
            <w:vAlign w:val="center"/>
          </w:tcPr>
          <w:p>
            <w:pPr>
              <w:spacing w:line="364"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货梯</w:t>
            </w:r>
            <w:r>
              <w:rPr>
                <w:rFonts w:hint="eastAsia" w:ascii="宋体" w:hAnsi="宋体" w:eastAsia="宋体" w:cs="宋体"/>
                <w:color w:val="auto"/>
                <w:sz w:val="21"/>
                <w:szCs w:val="21"/>
                <w:highlight w:val="none"/>
                <w:lang w:val="en-US" w:eastAsia="zh-CN"/>
              </w:rPr>
              <w:t>1</w:t>
            </w:r>
          </w:p>
        </w:tc>
        <w:tc>
          <w:tcPr>
            <w:tcW w:w="615" w:type="dxa"/>
            <w:tcBorders>
              <w:tl2br w:val="nil"/>
              <w:tr2bl w:val="nil"/>
            </w:tcBorders>
            <w:shd w:val="clear" w:color="auto" w:fill="FFFFFF"/>
            <w:noWrap w:val="0"/>
            <w:tcMar>
              <w:top w:w="0" w:type="dxa"/>
              <w:left w:w="108" w:type="dxa"/>
              <w:bottom w:w="0" w:type="dxa"/>
              <w:right w:w="108" w:type="dxa"/>
            </w:tcMar>
            <w:vAlign w:val="center"/>
          </w:tcPr>
          <w:p>
            <w:pPr>
              <w:spacing w:line="364" w:lineRule="exact"/>
              <w:ind w:left="-107" w:right="-10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台</w:t>
            </w:r>
          </w:p>
        </w:tc>
        <w:tc>
          <w:tcPr>
            <w:tcW w:w="816" w:type="dxa"/>
            <w:tcBorders>
              <w:tl2br w:val="nil"/>
              <w:tr2bl w:val="nil"/>
            </w:tcBorders>
            <w:shd w:val="clear" w:color="auto" w:fill="FFFFFF"/>
            <w:noWrap w:val="0"/>
            <w:tcMar>
              <w:top w:w="0" w:type="dxa"/>
              <w:left w:w="108" w:type="dxa"/>
              <w:bottom w:w="0" w:type="dxa"/>
              <w:right w:w="108" w:type="dxa"/>
            </w:tcMar>
            <w:vAlign w:val="center"/>
          </w:tcPr>
          <w:p>
            <w:pPr>
              <w:spacing w:line="364"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西子奥的斯</w:t>
            </w:r>
          </w:p>
        </w:tc>
        <w:tc>
          <w:tcPr>
            <w:tcW w:w="1923"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ind w:left="105" w:leftChars="50" w:right="105" w:rightChars="5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FOVF</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3层3站</w:t>
            </w:r>
            <w:r>
              <w:rPr>
                <w:rFonts w:hint="eastAsia" w:ascii="宋体" w:hAnsi="宋体" w:eastAsia="宋体" w:cs="宋体"/>
                <w:color w:val="auto"/>
                <w:sz w:val="21"/>
                <w:szCs w:val="21"/>
                <w:highlight w:val="none"/>
                <w:lang w:eastAsia="zh-CN"/>
              </w:rPr>
              <w:t>，货梯，载重</w:t>
            </w:r>
            <w:r>
              <w:rPr>
                <w:rFonts w:hint="eastAsia" w:ascii="宋体" w:hAnsi="宋体" w:eastAsia="宋体" w:cs="宋体"/>
                <w:color w:val="auto"/>
                <w:sz w:val="21"/>
                <w:szCs w:val="21"/>
                <w:highlight w:val="none"/>
                <w:lang w:val="en-US" w:eastAsia="zh-CN"/>
              </w:rPr>
              <w:t>3000kg，</w:t>
            </w:r>
            <w:r>
              <w:rPr>
                <w:rFonts w:hint="eastAsia" w:ascii="宋体" w:hAnsi="宋体" w:eastAsia="宋体" w:cs="宋体"/>
                <w:color w:val="auto"/>
                <w:sz w:val="21"/>
                <w:szCs w:val="21"/>
                <w:highlight w:val="none"/>
                <w:lang w:eastAsia="zh-CN"/>
              </w:rPr>
              <w:t>中锐汽车楼</w:t>
            </w:r>
          </w:p>
        </w:tc>
        <w:tc>
          <w:tcPr>
            <w:tcW w:w="183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4" w:lineRule="exact"/>
              <w:ind w:left="105" w:leftChars="50" w:right="105" w:rightChars="5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2010年7月19日</w:t>
            </w:r>
          </w:p>
        </w:tc>
        <w:tc>
          <w:tcPr>
            <w:tcW w:w="3193" w:type="dxa"/>
            <w:vMerge w:val="restart"/>
            <w:tcBorders>
              <w:tl2br w:val="nil"/>
              <w:tr2bl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val="0"/>
              <w:spacing w:line="320" w:lineRule="exact"/>
              <w:ind w:left="105" w:leftChars="50" w:right="105" w:rightChars="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eastAsia="zh-CN"/>
              </w:rPr>
              <w:t>供应商应对电梯进行经常性的日常维护保养，确保</w:t>
            </w:r>
            <w:r>
              <w:rPr>
                <w:rFonts w:hint="eastAsia" w:ascii="宋体" w:hAnsi="宋体" w:eastAsia="宋体" w:cs="宋体"/>
                <w:color w:val="auto"/>
                <w:sz w:val="21"/>
                <w:szCs w:val="21"/>
                <w:highlight w:val="none"/>
              </w:rPr>
              <w:t>电梯各部件</w:t>
            </w:r>
            <w:r>
              <w:rPr>
                <w:rFonts w:hint="eastAsia" w:ascii="宋体" w:hAnsi="宋体" w:eastAsia="宋体" w:cs="宋体"/>
                <w:color w:val="auto"/>
                <w:sz w:val="21"/>
                <w:szCs w:val="21"/>
                <w:highlight w:val="none"/>
                <w:lang w:eastAsia="zh-CN"/>
              </w:rPr>
              <w:t>不因维护不当产生故障或事故，</w:t>
            </w:r>
            <w:r>
              <w:rPr>
                <w:rFonts w:hint="eastAsia" w:ascii="宋体" w:hAnsi="宋体" w:eastAsia="宋体" w:cs="宋体"/>
                <w:color w:val="auto"/>
                <w:sz w:val="21"/>
                <w:szCs w:val="21"/>
                <w:highlight w:val="none"/>
              </w:rPr>
              <w:t>保证电梯安全运行。</w:t>
            </w:r>
          </w:p>
          <w:p>
            <w:pPr>
              <w:keepNext w:val="0"/>
              <w:keepLines w:val="0"/>
              <w:pageBreakBefore w:val="0"/>
              <w:widowControl w:val="0"/>
              <w:kinsoku/>
              <w:wordWrap/>
              <w:overflowPunct/>
              <w:topLinePunct w:val="0"/>
              <w:autoSpaceDE/>
              <w:autoSpaceDN/>
              <w:bidi w:val="0"/>
              <w:adjustRightInd/>
              <w:snapToGrid w:val="0"/>
              <w:spacing w:line="320" w:lineRule="exact"/>
              <w:ind w:left="105" w:leftChars="50" w:right="105" w:rightChars="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lang w:eastAsia="zh-CN"/>
              </w:rPr>
              <w:t>电梯</w:t>
            </w:r>
            <w:r>
              <w:rPr>
                <w:rFonts w:hint="eastAsia" w:ascii="宋体" w:hAnsi="宋体" w:eastAsia="宋体" w:cs="宋体"/>
                <w:color w:val="auto"/>
                <w:sz w:val="21"/>
                <w:szCs w:val="21"/>
                <w:highlight w:val="none"/>
              </w:rPr>
              <w:t>日常维护保养应遵守</w:t>
            </w:r>
            <w:r>
              <w:rPr>
                <w:rFonts w:hint="eastAsia" w:ascii="宋体" w:hAnsi="宋体" w:cs="宋体"/>
                <w:color w:val="auto"/>
                <w:sz w:val="21"/>
                <w:szCs w:val="21"/>
                <w:highlight w:val="none"/>
                <w:lang w:eastAsia="zh-CN"/>
              </w:rPr>
              <w:t>如下</w:t>
            </w:r>
            <w:r>
              <w:rPr>
                <w:rFonts w:hint="eastAsia" w:ascii="宋体" w:hAnsi="宋体" w:eastAsia="宋体" w:cs="宋体"/>
                <w:color w:val="auto"/>
                <w:sz w:val="21"/>
                <w:szCs w:val="21"/>
                <w:highlight w:val="none"/>
              </w:rPr>
              <w:t>标准：</w:t>
            </w:r>
          </w:p>
          <w:p>
            <w:pPr>
              <w:keepNext w:val="0"/>
              <w:keepLines w:val="0"/>
              <w:pageBreakBefore w:val="0"/>
              <w:widowControl w:val="0"/>
              <w:kinsoku/>
              <w:wordWrap/>
              <w:overflowPunct/>
              <w:topLinePunct w:val="0"/>
              <w:autoSpaceDE/>
              <w:autoSpaceDN/>
              <w:bidi w:val="0"/>
              <w:adjustRightInd/>
              <w:snapToGrid w:val="0"/>
              <w:spacing w:line="320" w:lineRule="exact"/>
              <w:ind w:left="105" w:leftChars="50" w:right="105" w:rightChars="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①电梯使用管理与维修保养规则</w:t>
            </w:r>
          </w:p>
          <w:p>
            <w:pPr>
              <w:keepNext w:val="0"/>
              <w:keepLines w:val="0"/>
              <w:pageBreakBefore w:val="0"/>
              <w:widowControl w:val="0"/>
              <w:kinsoku/>
              <w:wordWrap/>
              <w:overflowPunct/>
              <w:topLinePunct w:val="0"/>
              <w:autoSpaceDE/>
              <w:autoSpaceDN/>
              <w:bidi w:val="0"/>
              <w:adjustRightInd/>
              <w:snapToGrid w:val="0"/>
              <w:spacing w:line="320" w:lineRule="exact"/>
              <w:ind w:left="105" w:leftChars="50" w:right="105" w:rightChars="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②现行的电梯安全管理办法,电梯安全管理制度</w:t>
            </w:r>
          </w:p>
          <w:p>
            <w:pPr>
              <w:keepNext w:val="0"/>
              <w:keepLines w:val="0"/>
              <w:pageBreakBefore w:val="0"/>
              <w:widowControl w:val="0"/>
              <w:kinsoku/>
              <w:wordWrap/>
              <w:overflowPunct/>
              <w:topLinePunct w:val="0"/>
              <w:autoSpaceDE/>
              <w:autoSpaceDN/>
              <w:bidi w:val="0"/>
              <w:adjustRightInd/>
              <w:snapToGrid w:val="0"/>
              <w:spacing w:line="320" w:lineRule="exact"/>
              <w:ind w:left="105" w:leftChars="50" w:right="105" w:rightChars="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③电梯维修规范</w:t>
            </w:r>
          </w:p>
          <w:p>
            <w:pPr>
              <w:keepNext w:val="0"/>
              <w:keepLines w:val="0"/>
              <w:pageBreakBefore w:val="0"/>
              <w:widowControl w:val="0"/>
              <w:kinsoku/>
              <w:wordWrap/>
              <w:overflowPunct/>
              <w:topLinePunct w:val="0"/>
              <w:autoSpaceDE/>
              <w:autoSpaceDN/>
              <w:bidi w:val="0"/>
              <w:adjustRightInd/>
              <w:snapToGrid w:val="0"/>
              <w:spacing w:line="320" w:lineRule="exact"/>
              <w:ind w:left="105" w:leftChars="50" w:right="105" w:rightChars="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④电梯安装使用维护说明书</w:t>
            </w:r>
          </w:p>
          <w:p>
            <w:pPr>
              <w:keepNext w:val="0"/>
              <w:keepLines w:val="0"/>
              <w:pageBreakBefore w:val="0"/>
              <w:widowControl w:val="0"/>
              <w:kinsoku/>
              <w:wordWrap/>
              <w:overflowPunct/>
              <w:topLinePunct w:val="0"/>
              <w:autoSpaceDE/>
              <w:autoSpaceDN/>
              <w:bidi w:val="0"/>
              <w:adjustRightInd/>
              <w:snapToGrid w:val="0"/>
              <w:spacing w:line="320" w:lineRule="exact"/>
              <w:ind w:left="105" w:leftChars="50" w:right="105" w:rightChars="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⑤维保合同</w:t>
            </w:r>
          </w:p>
          <w:p>
            <w:pPr>
              <w:keepNext w:val="0"/>
              <w:keepLines w:val="0"/>
              <w:pageBreakBefore w:val="0"/>
              <w:widowControl w:val="0"/>
              <w:kinsoku/>
              <w:wordWrap/>
              <w:overflowPunct/>
              <w:topLinePunct w:val="0"/>
              <w:autoSpaceDE/>
              <w:autoSpaceDN/>
              <w:bidi w:val="0"/>
              <w:adjustRightInd/>
              <w:snapToGrid w:val="0"/>
              <w:spacing w:line="320" w:lineRule="exact"/>
              <w:ind w:left="105" w:leftChars="50" w:right="105" w:rightChars="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供应商应</w:t>
            </w:r>
            <w:r>
              <w:rPr>
                <w:rFonts w:hint="eastAsia" w:ascii="宋体" w:hAnsi="宋体" w:eastAsia="宋体" w:cs="宋体"/>
                <w:color w:val="auto"/>
                <w:sz w:val="21"/>
                <w:szCs w:val="21"/>
                <w:highlight w:val="none"/>
                <w:lang w:eastAsia="zh-CN"/>
              </w:rPr>
              <w:t>针对本项目制定</w:t>
            </w:r>
            <w:r>
              <w:rPr>
                <w:rFonts w:hint="eastAsia" w:ascii="宋体" w:hAnsi="宋体" w:eastAsia="宋体" w:cs="宋体"/>
                <w:color w:val="auto"/>
                <w:sz w:val="21"/>
                <w:szCs w:val="21"/>
                <w:highlight w:val="none"/>
              </w:rPr>
              <w:t>维保电梯的保养计划书</w:t>
            </w:r>
            <w:r>
              <w:rPr>
                <w:rFonts w:hint="eastAsia" w:ascii="宋体" w:hAnsi="宋体" w:eastAsia="宋体" w:cs="宋体"/>
                <w:color w:val="auto"/>
                <w:sz w:val="21"/>
                <w:szCs w:val="21"/>
                <w:highlight w:val="none"/>
                <w:lang w:eastAsia="zh-CN"/>
              </w:rPr>
              <w:t>，按</w:t>
            </w:r>
            <w:r>
              <w:rPr>
                <w:rFonts w:hint="eastAsia" w:ascii="宋体" w:hAnsi="宋体" w:eastAsia="宋体" w:cs="宋体"/>
                <w:color w:val="auto"/>
                <w:sz w:val="21"/>
                <w:szCs w:val="21"/>
                <w:highlight w:val="none"/>
              </w:rPr>
              <w:t>电梯使用管理与维修保养规则</w:t>
            </w:r>
            <w:r>
              <w:rPr>
                <w:rFonts w:hint="eastAsia" w:ascii="宋体" w:hAnsi="宋体" w:eastAsia="宋体" w:cs="宋体"/>
                <w:color w:val="auto"/>
                <w:sz w:val="21"/>
                <w:szCs w:val="21"/>
                <w:highlight w:val="none"/>
                <w:lang w:eastAsia="zh-CN"/>
              </w:rPr>
              <w:t>落实月检、季检、半年检、年检等维护保养工作。</w:t>
            </w:r>
          </w:p>
          <w:p>
            <w:pPr>
              <w:keepNext w:val="0"/>
              <w:keepLines w:val="0"/>
              <w:pageBreakBefore w:val="0"/>
              <w:widowControl w:val="0"/>
              <w:kinsoku/>
              <w:wordWrap/>
              <w:overflowPunct/>
              <w:topLinePunct w:val="0"/>
              <w:autoSpaceDE/>
              <w:autoSpaceDN/>
              <w:bidi w:val="0"/>
              <w:adjustRightInd/>
              <w:snapToGrid w:val="0"/>
              <w:spacing w:line="320" w:lineRule="exact"/>
              <w:ind w:left="105" w:leftChars="50" w:right="105" w:rightChars="5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四</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服务要求：</w:t>
            </w:r>
          </w:p>
          <w:p>
            <w:pPr>
              <w:keepNext w:val="0"/>
              <w:keepLines w:val="0"/>
              <w:pageBreakBefore w:val="0"/>
              <w:widowControl w:val="0"/>
              <w:kinsoku/>
              <w:wordWrap/>
              <w:overflowPunct/>
              <w:topLinePunct w:val="0"/>
              <w:autoSpaceDE/>
              <w:autoSpaceDN/>
              <w:bidi w:val="0"/>
              <w:adjustRightInd/>
              <w:snapToGrid w:val="0"/>
              <w:spacing w:line="320" w:lineRule="exact"/>
              <w:ind w:left="105" w:leftChars="50" w:right="105" w:rightChars="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要求维护保养驻点服务，驻点服务的人员数量不少于1人，并提供驻点人员的姓名、通迅号码</w:t>
            </w:r>
            <w:r>
              <w:rPr>
                <w:rFonts w:hint="eastAsia" w:ascii="宋体" w:hAnsi="宋体" w:cs="宋体"/>
                <w:color w:val="auto"/>
                <w:sz w:val="21"/>
                <w:szCs w:val="21"/>
                <w:highlight w:val="none"/>
                <w:lang w:eastAsia="zh-CN"/>
              </w:rPr>
              <w:t>和</w:t>
            </w:r>
            <w:r>
              <w:rPr>
                <w:rFonts w:hint="eastAsia" w:ascii="宋体" w:hAnsi="宋体" w:eastAsia="宋体" w:cs="宋体"/>
                <w:color w:val="auto"/>
                <w:sz w:val="21"/>
                <w:szCs w:val="21"/>
                <w:highlight w:val="none"/>
              </w:rPr>
              <w:t>有效的特种设备作业人员资格证书复印件。（须加盖聘用单位印章）</w:t>
            </w:r>
          </w:p>
          <w:p>
            <w:pPr>
              <w:keepNext w:val="0"/>
              <w:keepLines w:val="0"/>
              <w:pageBreakBefore w:val="0"/>
              <w:widowControl w:val="0"/>
              <w:kinsoku/>
              <w:wordWrap/>
              <w:overflowPunct/>
              <w:topLinePunct w:val="0"/>
              <w:autoSpaceDE/>
              <w:autoSpaceDN/>
              <w:bidi w:val="0"/>
              <w:adjustRightInd/>
              <w:snapToGrid w:val="0"/>
              <w:spacing w:line="320" w:lineRule="exact"/>
              <w:ind w:left="105" w:leftChars="50" w:right="105" w:rightChars="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须提供24小时的应急响应服务，且能在接到故障或事故报警后30分钟内到达现场，并能提供正常连续的服务直至故障或事故排除。对电梯困人事故要求在到达现场后30分钟内把乘客从轿厢中救出、对非电子板原因的常见故障要求在60分钟内排除，对电子板原因的故障应在普遍认可的合理时间内解决。</w:t>
            </w:r>
          </w:p>
          <w:p>
            <w:pPr>
              <w:keepNext w:val="0"/>
              <w:keepLines w:val="0"/>
              <w:pageBreakBefore w:val="0"/>
              <w:widowControl w:val="0"/>
              <w:kinsoku/>
              <w:wordWrap/>
              <w:overflowPunct/>
              <w:topLinePunct w:val="0"/>
              <w:autoSpaceDE/>
              <w:autoSpaceDN/>
              <w:bidi w:val="0"/>
              <w:adjustRightInd/>
              <w:snapToGrid w:val="0"/>
              <w:spacing w:line="320" w:lineRule="exact"/>
              <w:ind w:left="105" w:leftChars="50" w:right="105" w:rightChars="5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五、其他要求</w:t>
            </w:r>
          </w:p>
          <w:p>
            <w:pPr>
              <w:keepNext w:val="0"/>
              <w:keepLines w:val="0"/>
              <w:pageBreakBefore w:val="0"/>
              <w:widowControl w:val="0"/>
              <w:kinsoku/>
              <w:wordWrap/>
              <w:overflowPunct/>
              <w:topLinePunct w:val="0"/>
              <w:autoSpaceDE/>
              <w:autoSpaceDN/>
              <w:bidi w:val="0"/>
              <w:adjustRightInd/>
              <w:snapToGrid w:val="0"/>
              <w:spacing w:line="320" w:lineRule="exact"/>
              <w:ind w:left="105" w:leftChars="50" w:right="105" w:rightChars="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日常维护保养期届满时，须经法定</w:t>
            </w:r>
            <w:r>
              <w:rPr>
                <w:rFonts w:hint="eastAsia" w:ascii="宋体" w:hAnsi="宋体" w:cs="宋体"/>
                <w:color w:val="auto"/>
                <w:sz w:val="21"/>
                <w:szCs w:val="21"/>
                <w:highlight w:val="none"/>
                <w:lang w:eastAsia="zh-CN"/>
              </w:rPr>
              <w:t>定期</w:t>
            </w:r>
            <w:r>
              <w:rPr>
                <w:rFonts w:hint="eastAsia" w:ascii="宋体" w:hAnsi="宋体" w:eastAsia="宋体" w:cs="宋体"/>
                <w:color w:val="auto"/>
                <w:sz w:val="21"/>
                <w:szCs w:val="21"/>
                <w:highlight w:val="none"/>
              </w:rPr>
              <w:t>检验并无因维护保养原因的不合格项目存在。</w:t>
            </w:r>
          </w:p>
          <w:p>
            <w:pPr>
              <w:keepNext w:val="0"/>
              <w:keepLines w:val="0"/>
              <w:pageBreakBefore w:val="0"/>
              <w:widowControl w:val="0"/>
              <w:kinsoku/>
              <w:wordWrap/>
              <w:overflowPunct/>
              <w:topLinePunct w:val="0"/>
              <w:autoSpaceDE/>
              <w:autoSpaceDN/>
              <w:bidi w:val="0"/>
              <w:adjustRightInd/>
              <w:snapToGrid w:val="0"/>
              <w:spacing w:line="320" w:lineRule="exact"/>
              <w:ind w:left="105" w:leftChars="50" w:right="105" w:rightChars="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对更换下来的电子器件应由使用单位保管或由使用单位与维保单位共同销毁。</w:t>
            </w:r>
          </w:p>
          <w:p>
            <w:pPr>
              <w:keepNext w:val="0"/>
              <w:keepLines w:val="0"/>
              <w:pageBreakBefore w:val="0"/>
              <w:widowControl w:val="0"/>
              <w:kinsoku/>
              <w:wordWrap/>
              <w:overflowPunct/>
              <w:topLinePunct w:val="0"/>
              <w:autoSpaceDE/>
              <w:autoSpaceDN/>
              <w:bidi w:val="0"/>
              <w:adjustRightInd/>
              <w:snapToGrid w:val="0"/>
              <w:spacing w:line="320" w:lineRule="exact"/>
              <w:ind w:left="105" w:leftChars="50" w:right="105" w:rightChars="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如因使用不当造成电梯故障或损坏，维保单位有责任负责及时将其修复或更换，使电梯恢复安全、正常运行。</w:t>
            </w:r>
          </w:p>
          <w:p>
            <w:pPr>
              <w:keepNext w:val="0"/>
              <w:keepLines w:val="0"/>
              <w:pageBreakBefore w:val="0"/>
              <w:widowControl w:val="0"/>
              <w:kinsoku/>
              <w:wordWrap/>
              <w:overflowPunct/>
              <w:topLinePunct w:val="0"/>
              <w:autoSpaceDE/>
              <w:autoSpaceDN/>
              <w:bidi w:val="0"/>
              <w:adjustRightInd/>
              <w:snapToGrid w:val="0"/>
              <w:spacing w:line="320" w:lineRule="exact"/>
              <w:ind w:left="105" w:leftChars="50" w:right="105" w:rightChars="5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4、维保供应商应</w:t>
            </w:r>
            <w:r>
              <w:rPr>
                <w:rFonts w:hint="eastAsia" w:ascii="宋体" w:hAnsi="宋体" w:eastAsia="宋体" w:cs="宋体"/>
                <w:color w:val="auto"/>
                <w:sz w:val="21"/>
                <w:szCs w:val="21"/>
                <w:highlight w:val="none"/>
                <w:lang w:eastAsia="zh-CN"/>
              </w:rPr>
              <w:t>配合</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lang w:eastAsia="zh-CN"/>
              </w:rPr>
              <w:t>办理维保电梯的年检手续并确保通过年检。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1456" w:hRule="atLeast"/>
          <w:jc w:val="center"/>
        </w:trPr>
        <w:tc>
          <w:tcPr>
            <w:tcW w:w="556" w:type="dxa"/>
            <w:tcBorders>
              <w:tl2br w:val="nil"/>
              <w:tr2bl w:val="nil"/>
            </w:tcBorders>
            <w:shd w:val="clear" w:color="auto" w:fill="FFFFFF"/>
            <w:noWrap w:val="0"/>
            <w:tcMar>
              <w:top w:w="0" w:type="dxa"/>
              <w:left w:w="108" w:type="dxa"/>
              <w:bottom w:w="0" w:type="dxa"/>
              <w:right w:w="108" w:type="dxa"/>
            </w:tcMar>
            <w:vAlign w:val="center"/>
          </w:tcPr>
          <w:p>
            <w:pPr>
              <w:spacing w:line="364"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tc>
        <w:tc>
          <w:tcPr>
            <w:tcW w:w="837" w:type="dxa"/>
            <w:gridSpan w:val="2"/>
            <w:tcBorders>
              <w:tl2br w:val="nil"/>
              <w:tr2bl w:val="nil"/>
            </w:tcBorders>
            <w:shd w:val="clear" w:color="auto" w:fill="FFFFFF"/>
            <w:noWrap w:val="0"/>
            <w:tcMar>
              <w:top w:w="0" w:type="dxa"/>
              <w:left w:w="108" w:type="dxa"/>
              <w:bottom w:w="0" w:type="dxa"/>
              <w:right w:w="108" w:type="dxa"/>
            </w:tcMar>
            <w:vAlign w:val="center"/>
          </w:tcPr>
          <w:p>
            <w:pPr>
              <w:spacing w:line="364"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货梯</w:t>
            </w:r>
            <w:r>
              <w:rPr>
                <w:rFonts w:hint="eastAsia" w:ascii="宋体" w:hAnsi="宋体" w:eastAsia="宋体" w:cs="宋体"/>
                <w:color w:val="auto"/>
                <w:sz w:val="21"/>
                <w:szCs w:val="21"/>
                <w:highlight w:val="none"/>
                <w:lang w:val="en-US" w:eastAsia="zh-CN"/>
              </w:rPr>
              <w:t>2</w:t>
            </w:r>
          </w:p>
        </w:tc>
        <w:tc>
          <w:tcPr>
            <w:tcW w:w="615" w:type="dxa"/>
            <w:tcBorders>
              <w:tl2br w:val="nil"/>
              <w:tr2bl w:val="nil"/>
            </w:tcBorders>
            <w:shd w:val="clear" w:color="auto" w:fill="FFFFFF"/>
            <w:noWrap w:val="0"/>
            <w:tcMar>
              <w:top w:w="0" w:type="dxa"/>
              <w:left w:w="108" w:type="dxa"/>
              <w:bottom w:w="0" w:type="dxa"/>
              <w:right w:w="108" w:type="dxa"/>
            </w:tcMar>
            <w:vAlign w:val="center"/>
          </w:tcPr>
          <w:p>
            <w:pPr>
              <w:spacing w:line="364" w:lineRule="exact"/>
              <w:ind w:left="-107" w:leftChars="0" w:right="-107"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台</w:t>
            </w:r>
          </w:p>
        </w:tc>
        <w:tc>
          <w:tcPr>
            <w:tcW w:w="816" w:type="dxa"/>
            <w:tcBorders>
              <w:tl2br w:val="nil"/>
              <w:tr2bl w:val="nil"/>
            </w:tcBorders>
            <w:shd w:val="clear" w:color="auto" w:fill="FFFFFF"/>
            <w:noWrap w:val="0"/>
            <w:tcMar>
              <w:top w:w="0" w:type="dxa"/>
              <w:left w:w="108" w:type="dxa"/>
              <w:bottom w:w="0" w:type="dxa"/>
              <w:right w:w="108" w:type="dxa"/>
            </w:tcMar>
            <w:vAlign w:val="center"/>
          </w:tcPr>
          <w:p>
            <w:pPr>
              <w:spacing w:line="364"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西子奥的斯</w:t>
            </w:r>
          </w:p>
        </w:tc>
        <w:tc>
          <w:tcPr>
            <w:tcW w:w="1923"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ind w:left="105" w:leftChars="50" w:right="105" w:rightChars="5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FOVF</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层</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站</w:t>
            </w:r>
            <w:r>
              <w:rPr>
                <w:rFonts w:hint="eastAsia" w:ascii="宋体" w:hAnsi="宋体" w:eastAsia="宋体" w:cs="宋体"/>
                <w:color w:val="auto"/>
                <w:sz w:val="21"/>
                <w:szCs w:val="21"/>
                <w:highlight w:val="none"/>
                <w:lang w:eastAsia="zh-CN"/>
              </w:rPr>
              <w:t>，货梯，载重</w:t>
            </w:r>
            <w:r>
              <w:rPr>
                <w:rFonts w:hint="eastAsia" w:ascii="宋体" w:hAnsi="宋体" w:eastAsia="宋体" w:cs="宋体"/>
                <w:color w:val="auto"/>
                <w:sz w:val="21"/>
                <w:szCs w:val="21"/>
                <w:highlight w:val="none"/>
                <w:lang w:val="en-US" w:eastAsia="zh-CN"/>
              </w:rPr>
              <w:t>3000kg，</w:t>
            </w:r>
            <w:r>
              <w:rPr>
                <w:rFonts w:hint="eastAsia" w:ascii="宋体" w:hAnsi="宋体" w:eastAsia="宋体" w:cs="宋体"/>
                <w:color w:val="auto"/>
                <w:sz w:val="21"/>
                <w:szCs w:val="21"/>
                <w:highlight w:val="none"/>
                <w:lang w:eastAsia="zh-CN"/>
              </w:rPr>
              <w:t>实验实训楼</w:t>
            </w:r>
          </w:p>
        </w:tc>
        <w:tc>
          <w:tcPr>
            <w:tcW w:w="183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4" w:lineRule="exact"/>
              <w:ind w:left="105" w:leftChars="50" w:right="105" w:rightChars="5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2010年7月19日</w:t>
            </w:r>
          </w:p>
        </w:tc>
        <w:tc>
          <w:tcPr>
            <w:tcW w:w="3193"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4" w:lineRule="exact"/>
              <w:ind w:left="105" w:leftChars="50" w:right="105" w:rightChars="50"/>
              <w:jc w:val="left"/>
              <w:textAlignment w:val="auto"/>
              <w:rPr>
                <w:rFonts w:hint="eastAsia"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1333" w:hRule="atLeast"/>
          <w:jc w:val="center"/>
        </w:trPr>
        <w:tc>
          <w:tcPr>
            <w:tcW w:w="556" w:type="dxa"/>
            <w:tcBorders>
              <w:tl2br w:val="nil"/>
              <w:tr2bl w:val="nil"/>
            </w:tcBorders>
            <w:shd w:val="clear" w:color="auto" w:fill="FFFFFF"/>
            <w:noWrap w:val="0"/>
            <w:tcMar>
              <w:top w:w="0" w:type="dxa"/>
              <w:left w:w="108" w:type="dxa"/>
              <w:bottom w:w="0" w:type="dxa"/>
              <w:right w:w="108" w:type="dxa"/>
            </w:tcMar>
            <w:vAlign w:val="center"/>
          </w:tcPr>
          <w:p>
            <w:pPr>
              <w:spacing w:line="364"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w:t>
            </w:r>
          </w:p>
        </w:tc>
        <w:tc>
          <w:tcPr>
            <w:tcW w:w="837" w:type="dxa"/>
            <w:gridSpan w:val="2"/>
            <w:tcBorders>
              <w:tl2br w:val="nil"/>
              <w:tr2bl w:val="nil"/>
            </w:tcBorders>
            <w:shd w:val="clear" w:color="auto" w:fill="FFFFFF"/>
            <w:noWrap w:val="0"/>
            <w:tcMar>
              <w:top w:w="0" w:type="dxa"/>
              <w:left w:w="108" w:type="dxa"/>
              <w:bottom w:w="0" w:type="dxa"/>
              <w:right w:w="108" w:type="dxa"/>
            </w:tcMar>
            <w:vAlign w:val="center"/>
          </w:tcPr>
          <w:p>
            <w:pPr>
              <w:spacing w:line="364"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货梯</w:t>
            </w:r>
            <w:r>
              <w:rPr>
                <w:rFonts w:hint="eastAsia" w:ascii="宋体" w:hAnsi="宋体" w:eastAsia="宋体" w:cs="宋体"/>
                <w:color w:val="auto"/>
                <w:sz w:val="21"/>
                <w:szCs w:val="21"/>
                <w:highlight w:val="none"/>
                <w:lang w:val="en-US" w:eastAsia="zh-CN"/>
              </w:rPr>
              <w:t>3</w:t>
            </w:r>
          </w:p>
        </w:tc>
        <w:tc>
          <w:tcPr>
            <w:tcW w:w="615" w:type="dxa"/>
            <w:tcBorders>
              <w:tl2br w:val="nil"/>
              <w:tr2bl w:val="nil"/>
            </w:tcBorders>
            <w:shd w:val="clear" w:color="auto" w:fill="FFFFFF"/>
            <w:noWrap w:val="0"/>
            <w:tcMar>
              <w:top w:w="0" w:type="dxa"/>
              <w:left w:w="108" w:type="dxa"/>
              <w:bottom w:w="0" w:type="dxa"/>
              <w:right w:w="108" w:type="dxa"/>
            </w:tcMar>
            <w:vAlign w:val="center"/>
          </w:tcPr>
          <w:p>
            <w:pPr>
              <w:spacing w:line="364" w:lineRule="exact"/>
              <w:ind w:left="-107" w:leftChars="0" w:right="-107"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1台</w:t>
            </w:r>
          </w:p>
        </w:tc>
        <w:tc>
          <w:tcPr>
            <w:tcW w:w="816" w:type="dxa"/>
            <w:tcBorders>
              <w:tl2br w:val="nil"/>
              <w:tr2bl w:val="nil"/>
            </w:tcBorders>
            <w:shd w:val="clear" w:color="auto" w:fill="FFFFFF"/>
            <w:noWrap w:val="0"/>
            <w:tcMar>
              <w:top w:w="0" w:type="dxa"/>
              <w:left w:w="108" w:type="dxa"/>
              <w:bottom w:w="0" w:type="dxa"/>
              <w:right w:w="108" w:type="dxa"/>
            </w:tcMar>
            <w:vAlign w:val="center"/>
          </w:tcPr>
          <w:p>
            <w:pPr>
              <w:spacing w:line="364"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西子奥的斯</w:t>
            </w:r>
          </w:p>
        </w:tc>
        <w:tc>
          <w:tcPr>
            <w:tcW w:w="1923"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FOVF</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层</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站</w:t>
            </w:r>
            <w:r>
              <w:rPr>
                <w:rFonts w:hint="eastAsia" w:ascii="宋体" w:hAnsi="宋体" w:eastAsia="宋体" w:cs="宋体"/>
                <w:color w:val="auto"/>
                <w:kern w:val="0"/>
                <w:sz w:val="21"/>
                <w:szCs w:val="21"/>
                <w:highlight w:val="none"/>
                <w:lang w:eastAsia="zh-CN" w:bidi="ar"/>
              </w:rPr>
              <w:t>，货梯，</w:t>
            </w:r>
            <w:r>
              <w:rPr>
                <w:rFonts w:hint="eastAsia" w:ascii="宋体" w:hAnsi="宋体" w:eastAsia="宋体" w:cs="宋体"/>
                <w:color w:val="auto"/>
                <w:sz w:val="21"/>
                <w:szCs w:val="21"/>
                <w:highlight w:val="none"/>
                <w:lang w:eastAsia="zh-CN"/>
              </w:rPr>
              <w:t>载重</w:t>
            </w:r>
            <w:r>
              <w:rPr>
                <w:rFonts w:hint="eastAsia" w:ascii="宋体" w:hAnsi="宋体" w:eastAsia="宋体" w:cs="宋体"/>
                <w:color w:val="auto"/>
                <w:sz w:val="21"/>
                <w:szCs w:val="21"/>
                <w:highlight w:val="none"/>
                <w:lang w:val="en-US" w:eastAsia="zh-CN"/>
              </w:rPr>
              <w:t>3000kg，</w:t>
            </w:r>
            <w:r>
              <w:rPr>
                <w:rFonts w:hint="eastAsia" w:ascii="宋体" w:hAnsi="宋体" w:eastAsia="宋体" w:cs="宋体"/>
                <w:color w:val="auto"/>
                <w:kern w:val="0"/>
                <w:sz w:val="21"/>
                <w:szCs w:val="21"/>
                <w:highlight w:val="none"/>
                <w:lang w:eastAsia="zh-CN" w:bidi="ar"/>
              </w:rPr>
              <w:t>水工实训楼</w:t>
            </w:r>
          </w:p>
        </w:tc>
        <w:tc>
          <w:tcPr>
            <w:tcW w:w="183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4" w:lineRule="exact"/>
              <w:ind w:left="105" w:leftChars="50" w:right="105" w:rightChars="5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2010年7月19日</w:t>
            </w:r>
          </w:p>
        </w:tc>
        <w:tc>
          <w:tcPr>
            <w:tcW w:w="3193"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4" w:lineRule="exact"/>
              <w:ind w:left="105" w:leftChars="50" w:right="105" w:rightChars="50"/>
              <w:jc w:val="left"/>
              <w:textAlignment w:val="auto"/>
              <w:rPr>
                <w:rFonts w:hint="eastAsia"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1182" w:hRule="atLeast"/>
          <w:jc w:val="center"/>
        </w:trPr>
        <w:tc>
          <w:tcPr>
            <w:tcW w:w="556" w:type="dxa"/>
            <w:tcBorders>
              <w:tl2br w:val="nil"/>
              <w:tr2bl w:val="nil"/>
            </w:tcBorders>
            <w:shd w:val="clear" w:color="auto" w:fill="FFFFFF"/>
            <w:noWrap w:val="0"/>
            <w:tcMar>
              <w:top w:w="0" w:type="dxa"/>
              <w:left w:w="108" w:type="dxa"/>
              <w:bottom w:w="0" w:type="dxa"/>
              <w:right w:w="108" w:type="dxa"/>
            </w:tcMar>
            <w:vAlign w:val="center"/>
          </w:tcPr>
          <w:p>
            <w:pPr>
              <w:spacing w:line="364"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w:t>
            </w:r>
          </w:p>
        </w:tc>
        <w:tc>
          <w:tcPr>
            <w:tcW w:w="837" w:type="dxa"/>
            <w:gridSpan w:val="2"/>
            <w:tcBorders>
              <w:tl2br w:val="nil"/>
              <w:tr2bl w:val="nil"/>
            </w:tcBorders>
            <w:shd w:val="clear" w:color="auto" w:fill="FFFFFF"/>
            <w:noWrap w:val="0"/>
            <w:tcMar>
              <w:top w:w="0" w:type="dxa"/>
              <w:left w:w="108" w:type="dxa"/>
              <w:bottom w:w="0" w:type="dxa"/>
              <w:right w:w="108" w:type="dxa"/>
            </w:tcMar>
            <w:vAlign w:val="center"/>
          </w:tcPr>
          <w:p>
            <w:pPr>
              <w:spacing w:line="364"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货梯</w:t>
            </w:r>
            <w:r>
              <w:rPr>
                <w:rFonts w:hint="eastAsia" w:ascii="宋体" w:hAnsi="宋体" w:eastAsia="宋体" w:cs="宋体"/>
                <w:color w:val="auto"/>
                <w:sz w:val="21"/>
                <w:szCs w:val="21"/>
                <w:highlight w:val="none"/>
                <w:lang w:val="en-US" w:eastAsia="zh-CN"/>
              </w:rPr>
              <w:t>4</w:t>
            </w:r>
          </w:p>
        </w:tc>
        <w:tc>
          <w:tcPr>
            <w:tcW w:w="615" w:type="dxa"/>
            <w:tcBorders>
              <w:tl2br w:val="nil"/>
              <w:tr2bl w:val="nil"/>
            </w:tcBorders>
            <w:shd w:val="clear" w:color="auto" w:fill="FFFFFF"/>
            <w:noWrap w:val="0"/>
            <w:tcMar>
              <w:top w:w="0" w:type="dxa"/>
              <w:left w:w="108" w:type="dxa"/>
              <w:bottom w:w="0" w:type="dxa"/>
              <w:right w:w="108" w:type="dxa"/>
            </w:tcMar>
            <w:vAlign w:val="center"/>
          </w:tcPr>
          <w:p>
            <w:pPr>
              <w:spacing w:line="364" w:lineRule="exact"/>
              <w:ind w:left="-107" w:leftChars="0" w:right="-107"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台</w:t>
            </w:r>
          </w:p>
        </w:tc>
        <w:tc>
          <w:tcPr>
            <w:tcW w:w="816" w:type="dxa"/>
            <w:tcBorders>
              <w:tl2br w:val="nil"/>
              <w:tr2bl w:val="nil"/>
            </w:tcBorders>
            <w:shd w:val="clear" w:color="auto" w:fill="FFFFFF"/>
            <w:noWrap w:val="0"/>
            <w:tcMar>
              <w:top w:w="0" w:type="dxa"/>
              <w:left w:w="108" w:type="dxa"/>
              <w:bottom w:w="0" w:type="dxa"/>
              <w:right w:w="108" w:type="dxa"/>
            </w:tcMar>
            <w:vAlign w:val="center"/>
          </w:tcPr>
          <w:p>
            <w:pPr>
              <w:spacing w:line="364"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西子奥的斯</w:t>
            </w:r>
          </w:p>
        </w:tc>
        <w:tc>
          <w:tcPr>
            <w:tcW w:w="1923"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ind w:left="105" w:leftChars="50" w:right="105" w:rightChars="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FOVF</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层</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站</w:t>
            </w:r>
            <w:r>
              <w:rPr>
                <w:rFonts w:hint="eastAsia" w:ascii="宋体" w:hAnsi="宋体" w:eastAsia="宋体" w:cs="宋体"/>
                <w:color w:val="auto"/>
                <w:sz w:val="21"/>
                <w:szCs w:val="21"/>
                <w:highlight w:val="none"/>
                <w:lang w:eastAsia="zh-CN"/>
              </w:rPr>
              <w:t>，货梯，载重</w:t>
            </w:r>
            <w:r>
              <w:rPr>
                <w:rFonts w:hint="eastAsia" w:ascii="宋体" w:hAnsi="宋体" w:eastAsia="宋体" w:cs="宋体"/>
                <w:color w:val="auto"/>
                <w:sz w:val="21"/>
                <w:szCs w:val="21"/>
                <w:highlight w:val="none"/>
                <w:lang w:val="en-US" w:eastAsia="zh-CN"/>
              </w:rPr>
              <w:t>2000kg，</w:t>
            </w:r>
            <w:r>
              <w:rPr>
                <w:rFonts w:hint="eastAsia" w:ascii="宋体" w:hAnsi="宋体" w:eastAsia="宋体" w:cs="宋体"/>
                <w:color w:val="auto"/>
                <w:sz w:val="21"/>
                <w:szCs w:val="21"/>
                <w:highlight w:val="none"/>
                <w:lang w:eastAsia="zh-CN"/>
              </w:rPr>
              <w:t>图书馆</w:t>
            </w:r>
          </w:p>
        </w:tc>
        <w:tc>
          <w:tcPr>
            <w:tcW w:w="183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4" w:lineRule="exact"/>
              <w:ind w:left="105" w:leftChars="50" w:right="105" w:rightChars="5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2014年7月30日</w:t>
            </w:r>
          </w:p>
        </w:tc>
        <w:tc>
          <w:tcPr>
            <w:tcW w:w="3193"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4" w:lineRule="exact"/>
              <w:ind w:left="105" w:leftChars="50" w:right="105" w:rightChars="50"/>
              <w:jc w:val="left"/>
              <w:textAlignment w:val="auto"/>
              <w:rPr>
                <w:rFonts w:hint="eastAsia"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1282" w:hRule="atLeast"/>
          <w:jc w:val="center"/>
        </w:trPr>
        <w:tc>
          <w:tcPr>
            <w:tcW w:w="556" w:type="dxa"/>
            <w:tcBorders>
              <w:tl2br w:val="nil"/>
              <w:tr2bl w:val="nil"/>
            </w:tcBorders>
            <w:shd w:val="clear" w:color="auto" w:fill="FFFFFF"/>
            <w:noWrap w:val="0"/>
            <w:tcMar>
              <w:top w:w="0" w:type="dxa"/>
              <w:left w:w="108" w:type="dxa"/>
              <w:bottom w:w="0" w:type="dxa"/>
              <w:right w:w="108" w:type="dxa"/>
            </w:tcMar>
            <w:vAlign w:val="center"/>
          </w:tcPr>
          <w:p>
            <w:pPr>
              <w:spacing w:line="364"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w:t>
            </w:r>
          </w:p>
        </w:tc>
        <w:tc>
          <w:tcPr>
            <w:tcW w:w="837" w:type="dxa"/>
            <w:gridSpan w:val="2"/>
            <w:tcBorders>
              <w:tl2br w:val="nil"/>
              <w:tr2bl w:val="nil"/>
            </w:tcBorders>
            <w:shd w:val="clear" w:color="auto" w:fill="FFFFFF"/>
            <w:noWrap w:val="0"/>
            <w:tcMar>
              <w:top w:w="0" w:type="dxa"/>
              <w:left w:w="108" w:type="dxa"/>
              <w:bottom w:w="0" w:type="dxa"/>
              <w:right w:w="108" w:type="dxa"/>
            </w:tcMar>
            <w:vAlign w:val="center"/>
          </w:tcPr>
          <w:p>
            <w:pPr>
              <w:spacing w:line="364"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客梯</w:t>
            </w:r>
            <w:r>
              <w:rPr>
                <w:rFonts w:hint="eastAsia" w:ascii="宋体" w:hAnsi="宋体" w:eastAsia="宋体" w:cs="宋体"/>
                <w:color w:val="auto"/>
                <w:sz w:val="21"/>
                <w:szCs w:val="21"/>
                <w:highlight w:val="none"/>
                <w:lang w:val="en-US" w:eastAsia="zh-CN"/>
              </w:rPr>
              <w:t>1</w:t>
            </w:r>
          </w:p>
        </w:tc>
        <w:tc>
          <w:tcPr>
            <w:tcW w:w="615" w:type="dxa"/>
            <w:tcBorders>
              <w:tl2br w:val="nil"/>
              <w:tr2bl w:val="nil"/>
            </w:tcBorders>
            <w:shd w:val="clear" w:color="auto" w:fill="FFFFFF"/>
            <w:noWrap w:val="0"/>
            <w:tcMar>
              <w:top w:w="0" w:type="dxa"/>
              <w:left w:w="108" w:type="dxa"/>
              <w:bottom w:w="0" w:type="dxa"/>
              <w:right w:w="108" w:type="dxa"/>
            </w:tcMar>
            <w:vAlign w:val="center"/>
          </w:tcPr>
          <w:p>
            <w:pPr>
              <w:spacing w:line="364" w:lineRule="exact"/>
              <w:ind w:left="-107" w:leftChars="0" w:right="-107"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台</w:t>
            </w:r>
          </w:p>
        </w:tc>
        <w:tc>
          <w:tcPr>
            <w:tcW w:w="816" w:type="dxa"/>
            <w:tcBorders>
              <w:tl2br w:val="nil"/>
              <w:tr2bl w:val="nil"/>
            </w:tcBorders>
            <w:shd w:val="clear" w:color="auto" w:fill="FFFFFF"/>
            <w:noWrap w:val="0"/>
            <w:tcMar>
              <w:top w:w="0" w:type="dxa"/>
              <w:left w:w="108" w:type="dxa"/>
              <w:bottom w:w="0" w:type="dxa"/>
              <w:right w:w="108" w:type="dxa"/>
            </w:tcMar>
            <w:vAlign w:val="center"/>
          </w:tcPr>
          <w:p>
            <w:pPr>
              <w:spacing w:line="364"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西子奥的斯</w:t>
            </w:r>
          </w:p>
        </w:tc>
        <w:tc>
          <w:tcPr>
            <w:tcW w:w="1923"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ind w:left="105" w:leftChars="50" w:right="105" w:rightChars="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GEN2-MR</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层</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客梯，</w:t>
            </w:r>
            <w:r>
              <w:rPr>
                <w:rFonts w:hint="eastAsia" w:ascii="宋体" w:hAnsi="宋体" w:eastAsia="宋体" w:cs="宋体"/>
                <w:color w:val="auto"/>
                <w:sz w:val="21"/>
                <w:szCs w:val="21"/>
                <w:highlight w:val="none"/>
                <w:lang w:eastAsia="zh-CN"/>
              </w:rPr>
              <w:t>载重</w:t>
            </w:r>
            <w:r>
              <w:rPr>
                <w:rFonts w:hint="eastAsia" w:ascii="宋体" w:hAnsi="宋体" w:eastAsia="宋体" w:cs="宋体"/>
                <w:color w:val="auto"/>
                <w:sz w:val="21"/>
                <w:szCs w:val="21"/>
                <w:highlight w:val="none"/>
                <w:lang w:val="en-US" w:eastAsia="zh-CN"/>
              </w:rPr>
              <w:t>1000kg，图书馆</w:t>
            </w:r>
          </w:p>
        </w:tc>
        <w:tc>
          <w:tcPr>
            <w:tcW w:w="183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4" w:lineRule="exact"/>
              <w:ind w:left="105" w:leftChars="50" w:right="105" w:rightChars="5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2014年7月30日</w:t>
            </w:r>
          </w:p>
        </w:tc>
        <w:tc>
          <w:tcPr>
            <w:tcW w:w="3193"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4" w:lineRule="exact"/>
              <w:ind w:left="105" w:leftChars="50" w:right="105" w:rightChars="50"/>
              <w:jc w:val="left"/>
              <w:textAlignment w:val="auto"/>
              <w:rPr>
                <w:rFonts w:hint="eastAsia"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1208" w:hRule="atLeast"/>
          <w:jc w:val="center"/>
        </w:trPr>
        <w:tc>
          <w:tcPr>
            <w:tcW w:w="556" w:type="dxa"/>
            <w:tcBorders>
              <w:tl2br w:val="nil"/>
              <w:tr2bl w:val="nil"/>
            </w:tcBorders>
            <w:shd w:val="clear" w:color="auto" w:fill="FFFFFF"/>
            <w:noWrap w:val="0"/>
            <w:tcMar>
              <w:top w:w="0" w:type="dxa"/>
              <w:left w:w="108" w:type="dxa"/>
              <w:bottom w:w="0" w:type="dxa"/>
              <w:right w:w="108" w:type="dxa"/>
            </w:tcMar>
            <w:vAlign w:val="center"/>
          </w:tcPr>
          <w:p>
            <w:pPr>
              <w:spacing w:line="364"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w:t>
            </w:r>
          </w:p>
        </w:tc>
        <w:tc>
          <w:tcPr>
            <w:tcW w:w="837" w:type="dxa"/>
            <w:gridSpan w:val="2"/>
            <w:tcBorders>
              <w:tl2br w:val="nil"/>
              <w:tr2bl w:val="nil"/>
            </w:tcBorders>
            <w:shd w:val="clear" w:color="auto" w:fill="FFFFFF"/>
            <w:noWrap w:val="0"/>
            <w:tcMar>
              <w:top w:w="0" w:type="dxa"/>
              <w:left w:w="108" w:type="dxa"/>
              <w:bottom w:w="0" w:type="dxa"/>
              <w:right w:w="108" w:type="dxa"/>
            </w:tcMar>
            <w:vAlign w:val="center"/>
          </w:tcPr>
          <w:p>
            <w:pPr>
              <w:spacing w:line="364"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客梯2</w:t>
            </w:r>
          </w:p>
        </w:tc>
        <w:tc>
          <w:tcPr>
            <w:tcW w:w="615" w:type="dxa"/>
            <w:tcBorders>
              <w:tl2br w:val="nil"/>
              <w:tr2bl w:val="nil"/>
            </w:tcBorders>
            <w:shd w:val="clear" w:color="auto" w:fill="FFFFFF"/>
            <w:noWrap w:val="0"/>
            <w:tcMar>
              <w:top w:w="0" w:type="dxa"/>
              <w:left w:w="108" w:type="dxa"/>
              <w:bottom w:w="0" w:type="dxa"/>
              <w:right w:w="108" w:type="dxa"/>
            </w:tcMar>
            <w:vAlign w:val="center"/>
          </w:tcPr>
          <w:p>
            <w:pPr>
              <w:spacing w:line="364" w:lineRule="exact"/>
              <w:ind w:left="-107" w:leftChars="0" w:right="-107"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1台</w:t>
            </w:r>
          </w:p>
        </w:tc>
        <w:tc>
          <w:tcPr>
            <w:tcW w:w="816" w:type="dxa"/>
            <w:tcBorders>
              <w:tl2br w:val="nil"/>
              <w:tr2bl w:val="nil"/>
            </w:tcBorders>
            <w:shd w:val="clear" w:color="auto" w:fill="FFFFFF"/>
            <w:noWrap w:val="0"/>
            <w:tcMar>
              <w:top w:w="0" w:type="dxa"/>
              <w:left w:w="108" w:type="dxa"/>
              <w:bottom w:w="0" w:type="dxa"/>
              <w:right w:w="108" w:type="dxa"/>
            </w:tcMar>
            <w:vAlign w:val="center"/>
          </w:tcPr>
          <w:p>
            <w:pPr>
              <w:spacing w:line="364"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西子奥的斯</w:t>
            </w:r>
          </w:p>
        </w:tc>
        <w:tc>
          <w:tcPr>
            <w:tcW w:w="1923"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GEN2-MR</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层</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站</w:t>
            </w:r>
            <w:r>
              <w:rPr>
                <w:rFonts w:hint="eastAsia" w:ascii="宋体" w:hAnsi="宋体" w:eastAsia="宋体" w:cs="宋体"/>
                <w:color w:val="auto"/>
                <w:kern w:val="0"/>
                <w:sz w:val="21"/>
                <w:szCs w:val="21"/>
                <w:highlight w:val="none"/>
                <w:lang w:eastAsia="zh-CN" w:bidi="ar"/>
              </w:rPr>
              <w:t>，客梯，</w:t>
            </w:r>
            <w:r>
              <w:rPr>
                <w:rFonts w:hint="eastAsia" w:ascii="宋体" w:hAnsi="宋体" w:eastAsia="宋体" w:cs="宋体"/>
                <w:color w:val="auto"/>
                <w:sz w:val="21"/>
                <w:szCs w:val="21"/>
                <w:highlight w:val="none"/>
                <w:lang w:eastAsia="zh-CN"/>
              </w:rPr>
              <w:t>载重</w:t>
            </w:r>
            <w:r>
              <w:rPr>
                <w:rFonts w:hint="eastAsia" w:ascii="宋体" w:hAnsi="宋体" w:eastAsia="宋体" w:cs="宋体"/>
                <w:color w:val="auto"/>
                <w:sz w:val="21"/>
                <w:szCs w:val="21"/>
                <w:highlight w:val="none"/>
                <w:lang w:val="en-US" w:eastAsia="zh-CN"/>
              </w:rPr>
              <w:t>1000kg，</w:t>
            </w:r>
            <w:r>
              <w:rPr>
                <w:rFonts w:hint="eastAsia" w:ascii="宋体" w:hAnsi="宋体" w:eastAsia="宋体" w:cs="宋体"/>
                <w:color w:val="auto"/>
                <w:kern w:val="0"/>
                <w:sz w:val="21"/>
                <w:szCs w:val="21"/>
                <w:highlight w:val="none"/>
                <w:lang w:eastAsia="zh-CN" w:bidi="ar"/>
              </w:rPr>
              <w:t>建筑实训楼</w:t>
            </w:r>
          </w:p>
        </w:tc>
        <w:tc>
          <w:tcPr>
            <w:tcW w:w="183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4" w:lineRule="exact"/>
              <w:ind w:left="105" w:leftChars="50" w:right="105" w:rightChars="5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2014年7月30日</w:t>
            </w:r>
          </w:p>
        </w:tc>
        <w:tc>
          <w:tcPr>
            <w:tcW w:w="3193"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4" w:lineRule="exact"/>
              <w:ind w:left="105" w:leftChars="50" w:right="105" w:rightChars="50"/>
              <w:jc w:val="left"/>
              <w:textAlignment w:val="auto"/>
              <w:rPr>
                <w:rFonts w:hint="eastAsia"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1538" w:hRule="atLeast"/>
          <w:jc w:val="center"/>
        </w:trPr>
        <w:tc>
          <w:tcPr>
            <w:tcW w:w="556" w:type="dxa"/>
            <w:tcBorders>
              <w:tl2br w:val="nil"/>
              <w:tr2bl w:val="nil"/>
            </w:tcBorders>
            <w:shd w:val="clear" w:color="auto" w:fill="FFFFFF"/>
            <w:noWrap w:val="0"/>
            <w:tcMar>
              <w:top w:w="0" w:type="dxa"/>
              <w:left w:w="108" w:type="dxa"/>
              <w:bottom w:w="0" w:type="dxa"/>
              <w:right w:w="108" w:type="dxa"/>
            </w:tcMar>
            <w:vAlign w:val="center"/>
          </w:tcPr>
          <w:p>
            <w:pPr>
              <w:spacing w:line="364"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w:t>
            </w:r>
          </w:p>
        </w:tc>
        <w:tc>
          <w:tcPr>
            <w:tcW w:w="837" w:type="dxa"/>
            <w:gridSpan w:val="2"/>
            <w:tcBorders>
              <w:tl2br w:val="nil"/>
              <w:tr2bl w:val="nil"/>
            </w:tcBorders>
            <w:shd w:val="clear" w:color="auto" w:fill="FFFFFF"/>
            <w:noWrap w:val="0"/>
            <w:tcMar>
              <w:top w:w="0" w:type="dxa"/>
              <w:left w:w="108" w:type="dxa"/>
              <w:bottom w:w="0" w:type="dxa"/>
              <w:right w:w="108" w:type="dxa"/>
            </w:tcMar>
            <w:vAlign w:val="center"/>
          </w:tcPr>
          <w:p>
            <w:pPr>
              <w:spacing w:line="364"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货梯</w:t>
            </w:r>
            <w:r>
              <w:rPr>
                <w:rFonts w:hint="eastAsia" w:ascii="宋体" w:hAnsi="宋体" w:eastAsia="宋体" w:cs="宋体"/>
                <w:color w:val="auto"/>
                <w:sz w:val="21"/>
                <w:szCs w:val="21"/>
                <w:highlight w:val="none"/>
                <w:lang w:val="en-US" w:eastAsia="zh-CN"/>
              </w:rPr>
              <w:t>5</w:t>
            </w:r>
          </w:p>
        </w:tc>
        <w:tc>
          <w:tcPr>
            <w:tcW w:w="615" w:type="dxa"/>
            <w:tcBorders>
              <w:tl2br w:val="nil"/>
              <w:tr2bl w:val="nil"/>
            </w:tcBorders>
            <w:shd w:val="clear" w:color="auto" w:fill="FFFFFF"/>
            <w:noWrap w:val="0"/>
            <w:tcMar>
              <w:top w:w="0" w:type="dxa"/>
              <w:left w:w="108" w:type="dxa"/>
              <w:bottom w:w="0" w:type="dxa"/>
              <w:right w:w="108" w:type="dxa"/>
            </w:tcMar>
            <w:vAlign w:val="center"/>
          </w:tcPr>
          <w:p>
            <w:pPr>
              <w:spacing w:line="364" w:lineRule="exact"/>
              <w:ind w:left="-107" w:right="-10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台</w:t>
            </w:r>
          </w:p>
        </w:tc>
        <w:tc>
          <w:tcPr>
            <w:tcW w:w="816" w:type="dxa"/>
            <w:tcBorders>
              <w:tl2br w:val="nil"/>
              <w:tr2bl w:val="nil"/>
            </w:tcBorders>
            <w:shd w:val="clear" w:color="auto" w:fill="FFFFFF"/>
            <w:noWrap w:val="0"/>
            <w:tcMar>
              <w:top w:w="0" w:type="dxa"/>
              <w:left w:w="108" w:type="dxa"/>
              <w:bottom w:w="0" w:type="dxa"/>
              <w:right w:w="108" w:type="dxa"/>
            </w:tcMar>
            <w:vAlign w:val="center"/>
          </w:tcPr>
          <w:p>
            <w:pPr>
              <w:spacing w:line="364"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住友富士</w:t>
            </w:r>
          </w:p>
        </w:tc>
        <w:tc>
          <w:tcPr>
            <w:tcW w:w="1923"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ind w:left="105" w:leftChars="50" w:right="105" w:rightChars="5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MEGA-M3000/0.5-JX CVVVF</w:t>
            </w:r>
            <w:r>
              <w:rPr>
                <w:rFonts w:hint="eastAsia" w:ascii="宋体" w:hAnsi="宋体" w:eastAsia="宋体" w:cs="宋体"/>
                <w:color w:val="auto"/>
                <w:sz w:val="21"/>
                <w:szCs w:val="21"/>
                <w:highlight w:val="none"/>
              </w:rPr>
              <w:t>，3层3站</w:t>
            </w:r>
            <w:r>
              <w:rPr>
                <w:rFonts w:hint="eastAsia" w:ascii="宋体" w:hAnsi="宋体" w:eastAsia="宋体" w:cs="宋体"/>
                <w:color w:val="auto"/>
                <w:sz w:val="21"/>
                <w:szCs w:val="21"/>
                <w:highlight w:val="none"/>
                <w:lang w:eastAsia="zh-CN"/>
              </w:rPr>
              <w:t>，货梯，载重</w:t>
            </w:r>
            <w:r>
              <w:rPr>
                <w:rFonts w:hint="eastAsia" w:ascii="宋体" w:hAnsi="宋体" w:eastAsia="宋体" w:cs="宋体"/>
                <w:color w:val="auto"/>
                <w:sz w:val="21"/>
                <w:szCs w:val="21"/>
                <w:highlight w:val="none"/>
                <w:lang w:val="en-US" w:eastAsia="zh-CN"/>
              </w:rPr>
              <w:t>3000kg，</w:t>
            </w:r>
            <w:r>
              <w:rPr>
                <w:rFonts w:hint="eastAsia" w:ascii="宋体" w:hAnsi="宋体" w:eastAsia="宋体" w:cs="宋体"/>
                <w:color w:val="auto"/>
                <w:sz w:val="21"/>
                <w:szCs w:val="21"/>
                <w:highlight w:val="none"/>
                <w:lang w:eastAsia="zh-CN"/>
              </w:rPr>
              <w:t>金工综合实训楼</w:t>
            </w:r>
          </w:p>
        </w:tc>
        <w:tc>
          <w:tcPr>
            <w:tcW w:w="183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4" w:lineRule="exact"/>
              <w:ind w:left="105" w:leftChars="50" w:right="105" w:rightChars="5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2015年9月11日</w:t>
            </w:r>
          </w:p>
        </w:tc>
        <w:tc>
          <w:tcPr>
            <w:tcW w:w="3193"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4" w:lineRule="exact"/>
              <w:ind w:left="105" w:leftChars="50" w:right="105" w:rightChars="50"/>
              <w:jc w:val="left"/>
              <w:textAlignment w:val="auto"/>
              <w:rPr>
                <w:rFonts w:hint="eastAsia"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1228" w:hRule="atLeast"/>
          <w:jc w:val="center"/>
        </w:trPr>
        <w:tc>
          <w:tcPr>
            <w:tcW w:w="556" w:type="dxa"/>
            <w:tcBorders>
              <w:tl2br w:val="nil"/>
              <w:tr2bl w:val="nil"/>
            </w:tcBorders>
            <w:shd w:val="clear" w:color="auto" w:fill="FFFFFF"/>
            <w:noWrap w:val="0"/>
            <w:tcMar>
              <w:top w:w="0" w:type="dxa"/>
              <w:left w:w="108" w:type="dxa"/>
              <w:bottom w:w="0" w:type="dxa"/>
              <w:right w:w="108" w:type="dxa"/>
            </w:tcMar>
            <w:vAlign w:val="center"/>
          </w:tcPr>
          <w:p>
            <w:pPr>
              <w:spacing w:line="364"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w:t>
            </w:r>
          </w:p>
        </w:tc>
        <w:tc>
          <w:tcPr>
            <w:tcW w:w="837" w:type="dxa"/>
            <w:gridSpan w:val="2"/>
            <w:tcBorders>
              <w:tl2br w:val="nil"/>
              <w:tr2bl w:val="nil"/>
            </w:tcBorders>
            <w:shd w:val="clear" w:color="auto" w:fill="FFFFFF"/>
            <w:noWrap w:val="0"/>
            <w:tcMar>
              <w:top w:w="0" w:type="dxa"/>
              <w:left w:w="108" w:type="dxa"/>
              <w:bottom w:w="0" w:type="dxa"/>
              <w:right w:w="108" w:type="dxa"/>
            </w:tcMar>
            <w:vAlign w:val="center"/>
          </w:tcPr>
          <w:p>
            <w:pPr>
              <w:spacing w:line="364"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餐梯</w:t>
            </w:r>
          </w:p>
        </w:tc>
        <w:tc>
          <w:tcPr>
            <w:tcW w:w="615" w:type="dxa"/>
            <w:tcBorders>
              <w:tl2br w:val="nil"/>
              <w:tr2bl w:val="nil"/>
            </w:tcBorders>
            <w:shd w:val="clear" w:color="auto" w:fill="FFFFFF"/>
            <w:noWrap w:val="0"/>
            <w:tcMar>
              <w:top w:w="0" w:type="dxa"/>
              <w:left w:w="108" w:type="dxa"/>
              <w:bottom w:w="0" w:type="dxa"/>
              <w:right w:w="108" w:type="dxa"/>
            </w:tcMar>
            <w:vAlign w:val="center"/>
          </w:tcPr>
          <w:p>
            <w:pPr>
              <w:spacing w:line="364" w:lineRule="exact"/>
              <w:ind w:left="-107" w:right="-107"/>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1台</w:t>
            </w:r>
          </w:p>
        </w:tc>
        <w:tc>
          <w:tcPr>
            <w:tcW w:w="816" w:type="dxa"/>
            <w:tcBorders>
              <w:tl2br w:val="nil"/>
              <w:tr2bl w:val="nil"/>
            </w:tcBorders>
            <w:shd w:val="clear" w:color="auto" w:fill="FFFFFF"/>
            <w:noWrap w:val="0"/>
            <w:tcMar>
              <w:top w:w="0" w:type="dxa"/>
              <w:left w:w="108" w:type="dxa"/>
              <w:bottom w:w="0" w:type="dxa"/>
              <w:right w:w="108" w:type="dxa"/>
            </w:tcMar>
            <w:vAlign w:val="center"/>
          </w:tcPr>
          <w:p>
            <w:pPr>
              <w:spacing w:line="364"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华达电梯</w:t>
            </w:r>
          </w:p>
        </w:tc>
        <w:tc>
          <w:tcPr>
            <w:tcW w:w="1923"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TWJ200/0.4-as3层3站，载重200kg，知味轩食堂</w:t>
            </w:r>
          </w:p>
        </w:tc>
        <w:tc>
          <w:tcPr>
            <w:tcW w:w="183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4" w:lineRule="exact"/>
              <w:ind w:left="105" w:leftChars="50" w:right="105" w:rightChars="5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2018年3月21日</w:t>
            </w:r>
          </w:p>
        </w:tc>
        <w:tc>
          <w:tcPr>
            <w:tcW w:w="3193"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4" w:lineRule="exact"/>
              <w:ind w:left="105" w:leftChars="50" w:right="105" w:rightChars="50"/>
              <w:jc w:val="left"/>
              <w:textAlignment w:val="auto"/>
              <w:rPr>
                <w:rFonts w:hint="eastAsia"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1432" w:hRule="atLeast"/>
          <w:jc w:val="center"/>
        </w:trPr>
        <w:tc>
          <w:tcPr>
            <w:tcW w:w="556" w:type="dxa"/>
            <w:tcBorders>
              <w:tl2br w:val="nil"/>
              <w:tr2bl w:val="nil"/>
            </w:tcBorders>
            <w:shd w:val="clear" w:color="auto" w:fill="FFFFFF"/>
            <w:noWrap w:val="0"/>
            <w:tcMar>
              <w:top w:w="0" w:type="dxa"/>
              <w:left w:w="108" w:type="dxa"/>
              <w:bottom w:w="0" w:type="dxa"/>
              <w:right w:w="108" w:type="dxa"/>
            </w:tcMar>
            <w:vAlign w:val="center"/>
          </w:tcPr>
          <w:p>
            <w:pPr>
              <w:spacing w:line="364"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9</w:t>
            </w:r>
          </w:p>
        </w:tc>
        <w:tc>
          <w:tcPr>
            <w:tcW w:w="837" w:type="dxa"/>
            <w:gridSpan w:val="2"/>
            <w:tcBorders>
              <w:tl2br w:val="nil"/>
              <w:tr2bl w:val="nil"/>
            </w:tcBorders>
            <w:shd w:val="clear" w:color="auto" w:fill="FFFFFF"/>
            <w:noWrap w:val="0"/>
            <w:tcMar>
              <w:top w:w="0" w:type="dxa"/>
              <w:left w:w="108" w:type="dxa"/>
              <w:bottom w:w="0" w:type="dxa"/>
              <w:right w:w="108" w:type="dxa"/>
            </w:tcMar>
            <w:vAlign w:val="center"/>
          </w:tcPr>
          <w:p>
            <w:pPr>
              <w:spacing w:line="364" w:lineRule="exac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rPr>
              <w:t>货梯</w:t>
            </w:r>
            <w:r>
              <w:rPr>
                <w:rFonts w:hint="eastAsia" w:ascii="宋体" w:hAnsi="宋体" w:eastAsia="宋体" w:cs="宋体"/>
                <w:color w:val="auto"/>
                <w:sz w:val="21"/>
                <w:szCs w:val="21"/>
                <w:highlight w:val="none"/>
                <w:lang w:val="en-US" w:eastAsia="zh-CN"/>
              </w:rPr>
              <w:t>6</w:t>
            </w:r>
          </w:p>
        </w:tc>
        <w:tc>
          <w:tcPr>
            <w:tcW w:w="615" w:type="dxa"/>
            <w:tcBorders>
              <w:tl2br w:val="nil"/>
              <w:tr2bl w:val="nil"/>
            </w:tcBorders>
            <w:shd w:val="clear" w:color="auto" w:fill="FFFFFF"/>
            <w:noWrap w:val="0"/>
            <w:tcMar>
              <w:top w:w="0" w:type="dxa"/>
              <w:left w:w="108" w:type="dxa"/>
              <w:bottom w:w="0" w:type="dxa"/>
              <w:right w:w="108" w:type="dxa"/>
            </w:tcMar>
            <w:vAlign w:val="center"/>
          </w:tcPr>
          <w:p>
            <w:pPr>
              <w:spacing w:line="364" w:lineRule="exact"/>
              <w:ind w:left="-107" w:right="-107"/>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1台</w:t>
            </w:r>
          </w:p>
        </w:tc>
        <w:tc>
          <w:tcPr>
            <w:tcW w:w="816" w:type="dxa"/>
            <w:tcBorders>
              <w:tl2br w:val="nil"/>
              <w:tr2bl w:val="nil"/>
            </w:tcBorders>
            <w:shd w:val="clear" w:color="auto" w:fill="FFFFFF"/>
            <w:noWrap w:val="0"/>
            <w:tcMar>
              <w:top w:w="0" w:type="dxa"/>
              <w:left w:w="108" w:type="dxa"/>
              <w:bottom w:w="0" w:type="dxa"/>
              <w:right w:w="108" w:type="dxa"/>
            </w:tcMar>
            <w:vAlign w:val="center"/>
          </w:tcPr>
          <w:p>
            <w:pPr>
              <w:spacing w:line="364"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天奥电梯</w:t>
            </w:r>
            <w:r>
              <w:rPr>
                <w:rFonts w:hint="eastAsia" w:ascii="宋体" w:hAnsi="宋体" w:eastAsia="宋体" w:cs="宋体"/>
                <w:color w:val="auto"/>
                <w:sz w:val="21"/>
                <w:szCs w:val="21"/>
                <w:highlight w:val="none"/>
                <w:lang w:val="en-US" w:eastAsia="zh-CN"/>
              </w:rPr>
              <w:t xml:space="preserve"> </w:t>
            </w:r>
          </w:p>
        </w:tc>
        <w:tc>
          <w:tcPr>
            <w:tcW w:w="1923"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TAh-2000kg/1.0，6层6站，载重2000kg，教学综合实训楼</w:t>
            </w:r>
          </w:p>
        </w:tc>
        <w:tc>
          <w:tcPr>
            <w:tcW w:w="183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4" w:lineRule="exact"/>
              <w:ind w:left="105" w:leftChars="50" w:right="105" w:rightChars="5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2019年10月</w:t>
            </w:r>
          </w:p>
        </w:tc>
        <w:tc>
          <w:tcPr>
            <w:tcW w:w="3193"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4" w:lineRule="exact"/>
              <w:ind w:left="105" w:leftChars="50" w:right="105" w:rightChars="50"/>
              <w:jc w:val="left"/>
              <w:textAlignment w:val="auto"/>
              <w:rPr>
                <w:rFonts w:hint="eastAsia"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1432" w:hRule="atLeast"/>
          <w:jc w:val="center"/>
        </w:trPr>
        <w:tc>
          <w:tcPr>
            <w:tcW w:w="556" w:type="dxa"/>
            <w:tcBorders>
              <w:tl2br w:val="nil"/>
              <w:tr2bl w:val="nil"/>
            </w:tcBorders>
            <w:shd w:val="clear" w:color="auto" w:fill="FFFFFF"/>
            <w:noWrap w:val="0"/>
            <w:tcMar>
              <w:top w:w="0" w:type="dxa"/>
              <w:left w:w="108" w:type="dxa"/>
              <w:bottom w:w="0" w:type="dxa"/>
              <w:right w:w="108" w:type="dxa"/>
            </w:tcMar>
            <w:vAlign w:val="center"/>
          </w:tcPr>
          <w:p>
            <w:pPr>
              <w:spacing w:line="364"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10</w:t>
            </w:r>
          </w:p>
        </w:tc>
        <w:tc>
          <w:tcPr>
            <w:tcW w:w="837" w:type="dxa"/>
            <w:gridSpan w:val="2"/>
            <w:tcBorders>
              <w:tl2br w:val="nil"/>
              <w:tr2bl w:val="nil"/>
            </w:tcBorders>
            <w:shd w:val="clear" w:color="auto" w:fill="FFFFFF"/>
            <w:noWrap w:val="0"/>
            <w:tcMar>
              <w:top w:w="0" w:type="dxa"/>
              <w:left w:w="108" w:type="dxa"/>
              <w:bottom w:w="0" w:type="dxa"/>
              <w:right w:w="108" w:type="dxa"/>
            </w:tcMar>
            <w:vAlign w:val="center"/>
          </w:tcPr>
          <w:p>
            <w:pPr>
              <w:spacing w:line="364"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客梯</w:t>
            </w:r>
            <w:r>
              <w:rPr>
                <w:rFonts w:hint="eastAsia" w:ascii="宋体" w:hAnsi="宋体" w:eastAsia="宋体" w:cs="宋体"/>
                <w:color w:val="auto"/>
                <w:sz w:val="21"/>
                <w:szCs w:val="21"/>
                <w:highlight w:val="none"/>
                <w:lang w:val="en-US" w:eastAsia="zh-CN"/>
              </w:rPr>
              <w:t>3</w:t>
            </w:r>
          </w:p>
        </w:tc>
        <w:tc>
          <w:tcPr>
            <w:tcW w:w="615" w:type="dxa"/>
            <w:tcBorders>
              <w:tl2br w:val="nil"/>
              <w:tr2bl w:val="nil"/>
            </w:tcBorders>
            <w:shd w:val="clear" w:color="auto" w:fill="FFFFFF"/>
            <w:noWrap w:val="0"/>
            <w:tcMar>
              <w:top w:w="0" w:type="dxa"/>
              <w:left w:w="108" w:type="dxa"/>
              <w:bottom w:w="0" w:type="dxa"/>
              <w:right w:w="108" w:type="dxa"/>
            </w:tcMar>
            <w:vAlign w:val="center"/>
          </w:tcPr>
          <w:p>
            <w:pPr>
              <w:spacing w:line="364" w:lineRule="exact"/>
              <w:ind w:left="-107" w:leftChars="0" w:right="-107"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1台</w:t>
            </w:r>
          </w:p>
        </w:tc>
        <w:tc>
          <w:tcPr>
            <w:tcW w:w="816" w:type="dxa"/>
            <w:tcBorders>
              <w:tl2br w:val="nil"/>
              <w:tr2bl w:val="nil"/>
            </w:tcBorders>
            <w:shd w:val="clear" w:color="auto" w:fill="FFFFFF"/>
            <w:noWrap w:val="0"/>
            <w:tcMar>
              <w:top w:w="0" w:type="dxa"/>
              <w:left w:w="108" w:type="dxa"/>
              <w:bottom w:w="0" w:type="dxa"/>
              <w:right w:w="108" w:type="dxa"/>
            </w:tcMar>
            <w:vAlign w:val="center"/>
          </w:tcPr>
          <w:p>
            <w:pPr>
              <w:spacing w:line="364"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西子奥的斯</w:t>
            </w:r>
          </w:p>
        </w:tc>
        <w:tc>
          <w:tcPr>
            <w:tcW w:w="1923"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层</w:t>
            </w:r>
            <w:r>
              <w:rPr>
                <w:rFonts w:hint="eastAsia" w:ascii="宋体" w:hAnsi="宋体" w:eastAsia="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站</w:t>
            </w:r>
            <w:r>
              <w:rPr>
                <w:rFonts w:hint="eastAsia" w:ascii="宋体" w:hAnsi="宋体" w:eastAsia="宋体" w:cs="宋体"/>
                <w:color w:val="auto"/>
                <w:kern w:val="0"/>
                <w:sz w:val="21"/>
                <w:szCs w:val="21"/>
                <w:highlight w:val="none"/>
                <w:lang w:eastAsia="zh-CN" w:bidi="ar"/>
              </w:rPr>
              <w:t>，客梯，</w:t>
            </w:r>
            <w:r>
              <w:rPr>
                <w:rFonts w:hint="eastAsia" w:ascii="宋体" w:hAnsi="宋体" w:eastAsia="宋体" w:cs="宋体"/>
                <w:color w:val="auto"/>
                <w:sz w:val="21"/>
                <w:szCs w:val="21"/>
                <w:highlight w:val="none"/>
                <w:lang w:eastAsia="zh-CN"/>
              </w:rPr>
              <w:t>载重</w:t>
            </w:r>
            <w:r>
              <w:rPr>
                <w:rFonts w:hint="eastAsia" w:ascii="宋体" w:hAnsi="宋体" w:eastAsia="宋体" w:cs="宋体"/>
                <w:color w:val="auto"/>
                <w:sz w:val="21"/>
                <w:szCs w:val="21"/>
                <w:highlight w:val="none"/>
                <w:lang w:val="en-US" w:eastAsia="zh-CN"/>
              </w:rPr>
              <w:t>1000kg，</w:t>
            </w:r>
            <w:r>
              <w:rPr>
                <w:rFonts w:hint="eastAsia" w:ascii="宋体" w:hAnsi="宋体" w:eastAsia="宋体" w:cs="宋体"/>
                <w:color w:val="auto"/>
                <w:kern w:val="0"/>
                <w:sz w:val="21"/>
                <w:szCs w:val="21"/>
                <w:highlight w:val="none"/>
                <w:lang w:eastAsia="zh-CN" w:bidi="ar"/>
              </w:rPr>
              <w:t>珠江阁培训学员宿舍</w:t>
            </w:r>
          </w:p>
        </w:tc>
        <w:tc>
          <w:tcPr>
            <w:tcW w:w="183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4" w:lineRule="exact"/>
              <w:ind w:left="105" w:leftChars="50" w:right="105" w:rightChars="5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2017年10月</w:t>
            </w:r>
          </w:p>
        </w:tc>
        <w:tc>
          <w:tcPr>
            <w:tcW w:w="3193"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4" w:lineRule="exact"/>
              <w:ind w:left="105" w:leftChars="50" w:right="105" w:rightChars="50"/>
              <w:jc w:val="left"/>
              <w:textAlignment w:val="auto"/>
              <w:rPr>
                <w:rFonts w:hint="eastAsia"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433" w:hRule="atLeast"/>
          <w:jc w:val="center"/>
        </w:trPr>
        <w:tc>
          <w:tcPr>
            <w:tcW w:w="9770" w:type="dxa"/>
            <w:gridSpan w:val="8"/>
            <w:tcBorders>
              <w:tl2br w:val="nil"/>
              <w:tr2bl w:val="nil"/>
            </w:tcBorders>
            <w:shd w:val="clear" w:color="auto" w:fill="FFFFFF"/>
            <w:noWrap w:val="0"/>
            <w:tcMar>
              <w:top w:w="0" w:type="dxa"/>
              <w:left w:w="108" w:type="dxa"/>
              <w:bottom w:w="0" w:type="dxa"/>
              <w:right w:w="108" w:type="dxa"/>
            </w:tcMar>
            <w:vAlign w:val="center"/>
          </w:tcPr>
          <w:p>
            <w:pPr>
              <w:numPr>
                <w:ilvl w:val="0"/>
                <w:numId w:val="1"/>
              </w:numPr>
              <w:snapToGrid w:val="0"/>
              <w:spacing w:line="364"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商务及其它要求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823" w:hRule="atLeast"/>
          <w:jc w:val="center"/>
        </w:trPr>
        <w:tc>
          <w:tcPr>
            <w:tcW w:w="1117" w:type="dxa"/>
            <w:gridSpan w:val="2"/>
            <w:tcBorders>
              <w:tl2br w:val="nil"/>
              <w:tr2bl w:val="nil"/>
            </w:tcBorders>
            <w:shd w:val="clear" w:color="auto" w:fill="FFFFFF"/>
            <w:noWrap w:val="0"/>
            <w:tcMar>
              <w:top w:w="0" w:type="dxa"/>
              <w:left w:w="108" w:type="dxa"/>
              <w:bottom w:w="0" w:type="dxa"/>
              <w:right w:w="108" w:type="dxa"/>
            </w:tcMar>
            <w:vAlign w:val="center"/>
          </w:tcPr>
          <w:p>
            <w:pPr>
              <w:snapToGrid w:val="0"/>
              <w:spacing w:line="364"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服务时间</w:t>
            </w:r>
          </w:p>
          <w:p>
            <w:pPr>
              <w:snapToGrid w:val="0"/>
              <w:spacing w:line="364"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及地点</w:t>
            </w:r>
          </w:p>
        </w:tc>
        <w:tc>
          <w:tcPr>
            <w:tcW w:w="8653" w:type="dxa"/>
            <w:gridSpan w:val="6"/>
            <w:tcBorders>
              <w:tl2br w:val="nil"/>
              <w:tr2bl w:val="nil"/>
            </w:tcBorders>
            <w:shd w:val="clear" w:color="auto" w:fill="FFFFFF"/>
            <w:noWrap w:val="0"/>
            <w:tcMar>
              <w:top w:w="0" w:type="dxa"/>
              <w:left w:w="108" w:type="dxa"/>
              <w:bottom w:w="0" w:type="dxa"/>
              <w:right w:w="108" w:type="dxa"/>
            </w:tcMar>
            <w:vAlign w:val="top"/>
          </w:tcPr>
          <w:p>
            <w:pPr>
              <w:snapToGrid w:val="0"/>
              <w:spacing w:line="364"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维保期限：自签订合同之日起 12个月；</w:t>
            </w:r>
          </w:p>
          <w:p>
            <w:pPr>
              <w:snapToGrid w:val="0"/>
              <w:spacing w:line="364"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维保服务</w:t>
            </w: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lang w:eastAsia="zh-CN"/>
              </w:rPr>
              <w:t>广西水利电力职业技术学院长堽校区、里建校区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823" w:hRule="atLeast"/>
          <w:jc w:val="center"/>
        </w:trPr>
        <w:tc>
          <w:tcPr>
            <w:tcW w:w="1117" w:type="dxa"/>
            <w:gridSpan w:val="2"/>
            <w:tcBorders>
              <w:tl2br w:val="nil"/>
              <w:tr2bl w:val="nil"/>
            </w:tcBorders>
            <w:shd w:val="clear" w:color="auto" w:fill="FFFFFF"/>
            <w:noWrap w:val="0"/>
            <w:tcMar>
              <w:top w:w="0" w:type="dxa"/>
              <w:left w:w="108" w:type="dxa"/>
              <w:bottom w:w="0" w:type="dxa"/>
              <w:right w:w="108" w:type="dxa"/>
            </w:tcMar>
            <w:vAlign w:val="center"/>
          </w:tcPr>
          <w:p>
            <w:pPr>
              <w:snapToGrid w:val="0"/>
              <w:spacing w:line="364"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付款条件</w:t>
            </w:r>
          </w:p>
        </w:tc>
        <w:tc>
          <w:tcPr>
            <w:tcW w:w="8653" w:type="dxa"/>
            <w:gridSpan w:val="6"/>
            <w:tcBorders>
              <w:tl2br w:val="nil"/>
              <w:tr2bl w:val="nil"/>
            </w:tcBorders>
            <w:shd w:val="clear" w:color="auto" w:fill="FFFFFF"/>
            <w:noWrap w:val="0"/>
            <w:tcMar>
              <w:top w:w="0" w:type="dxa"/>
              <w:left w:w="108" w:type="dxa"/>
              <w:bottom w:w="0" w:type="dxa"/>
              <w:right w:w="108" w:type="dxa"/>
            </w:tcMar>
            <w:vAlign w:val="top"/>
          </w:tcPr>
          <w:p>
            <w:pPr>
              <w:spacing w:line="364"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按季度付款。每季度完成保养服务后，由中标方提出付款申请，采购人验收合格后支付。</w:t>
            </w:r>
          </w:p>
          <w:p>
            <w:pPr>
              <w:spacing w:line="364"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中标服务供应商应提交2000元人民币作为履约保证金，待合同履约完成后无息退付。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838" w:hRule="atLeast"/>
          <w:jc w:val="center"/>
        </w:trPr>
        <w:tc>
          <w:tcPr>
            <w:tcW w:w="1117" w:type="dxa"/>
            <w:gridSpan w:val="2"/>
            <w:tcBorders>
              <w:tl2br w:val="nil"/>
              <w:tr2bl w:val="nil"/>
            </w:tcBorders>
            <w:shd w:val="clear" w:color="auto" w:fill="FFFFFF"/>
            <w:noWrap w:val="0"/>
            <w:tcMar>
              <w:top w:w="0" w:type="dxa"/>
              <w:left w:w="108" w:type="dxa"/>
              <w:bottom w:w="0" w:type="dxa"/>
              <w:right w:w="108" w:type="dxa"/>
            </w:tcMar>
            <w:vAlign w:val="center"/>
          </w:tcPr>
          <w:p>
            <w:pPr>
              <w:snapToGrid w:val="0"/>
              <w:spacing w:line="364"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维护要求</w:t>
            </w:r>
          </w:p>
        </w:tc>
        <w:tc>
          <w:tcPr>
            <w:tcW w:w="8653" w:type="dxa"/>
            <w:gridSpan w:val="6"/>
            <w:tcBorders>
              <w:tl2br w:val="nil"/>
              <w:tr2bl w:val="nil"/>
            </w:tcBorders>
            <w:shd w:val="clear" w:color="auto" w:fill="FFFFFF"/>
            <w:noWrap w:val="0"/>
            <w:tcMar>
              <w:top w:w="0" w:type="dxa"/>
              <w:left w:w="108" w:type="dxa"/>
              <w:bottom w:w="0" w:type="dxa"/>
              <w:right w:w="108" w:type="dxa"/>
            </w:tcMar>
            <w:vAlign w:val="center"/>
          </w:tcPr>
          <w:p>
            <w:pPr>
              <w:spacing w:line="364"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因本项目维护要求的特殊性，供应商或者供应商的分公司、办事处、服务中心等机构必须在南宁本地工商局注册登记，竞标时须提供相关证明，否则响应无效。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2992" w:hRule="atLeast"/>
          <w:jc w:val="center"/>
        </w:trPr>
        <w:tc>
          <w:tcPr>
            <w:tcW w:w="1117" w:type="dxa"/>
            <w:gridSpan w:val="2"/>
            <w:vMerge w:val="restart"/>
            <w:tcBorders>
              <w:tl2br w:val="nil"/>
              <w:tr2bl w:val="nil"/>
            </w:tcBorders>
            <w:shd w:val="clear" w:color="auto" w:fill="FFFFFF"/>
            <w:noWrap w:val="0"/>
            <w:tcMar>
              <w:top w:w="0" w:type="dxa"/>
              <w:left w:w="108" w:type="dxa"/>
              <w:bottom w:w="0" w:type="dxa"/>
              <w:right w:w="108" w:type="dxa"/>
            </w:tcMar>
            <w:vAlign w:val="center"/>
          </w:tcPr>
          <w:p>
            <w:pPr>
              <w:snapToGrid w:val="0"/>
              <w:spacing w:line="364"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电梯各部件维护要求</w:t>
            </w:r>
          </w:p>
        </w:tc>
        <w:tc>
          <w:tcPr>
            <w:tcW w:w="8653" w:type="dxa"/>
            <w:gridSpan w:val="6"/>
            <w:tcBorders>
              <w:tl2br w:val="nil"/>
              <w:tr2bl w:val="nil"/>
            </w:tcBorders>
            <w:shd w:val="clear" w:color="auto" w:fill="FFFFFF"/>
            <w:noWrap w:val="0"/>
            <w:tcMar>
              <w:top w:w="0" w:type="dxa"/>
              <w:left w:w="108" w:type="dxa"/>
              <w:bottom w:w="0" w:type="dxa"/>
              <w:right w:w="108" w:type="dxa"/>
            </w:tcMar>
            <w:vAlign w:val="center"/>
          </w:tcPr>
          <w:p>
            <w:pPr>
              <w:spacing w:line="364"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 机房、滑轮间环境 (2) 手动紧急操作装置 （3) 曳引机运行状况（4）制动器各销轴部位 (5)制动器间隙 （6）限速器各销轴部位（7）</w:t>
            </w:r>
            <w:r>
              <w:rPr>
                <w:rFonts w:hint="eastAsia" w:ascii="宋体" w:hAnsi="宋体" w:eastAsia="宋体" w:cs="宋体"/>
                <w:color w:val="auto"/>
                <w:sz w:val="21"/>
                <w:szCs w:val="21"/>
                <w:highlight w:val="none"/>
                <w:lang w:eastAsia="zh-CN"/>
              </w:rPr>
              <w:t>轿</w:t>
            </w:r>
            <w:r>
              <w:rPr>
                <w:rFonts w:hint="eastAsia" w:ascii="宋体" w:hAnsi="宋体" w:eastAsia="宋体" w:cs="宋体"/>
                <w:color w:val="auto"/>
                <w:sz w:val="21"/>
                <w:szCs w:val="21"/>
                <w:highlight w:val="none"/>
              </w:rPr>
              <w:t>顶清洁，防护栏安全可靠（8）</w:t>
            </w:r>
            <w:r>
              <w:rPr>
                <w:rFonts w:hint="eastAsia" w:ascii="宋体" w:hAnsi="宋体" w:eastAsia="宋体" w:cs="宋体"/>
                <w:color w:val="auto"/>
                <w:sz w:val="21"/>
                <w:szCs w:val="21"/>
                <w:highlight w:val="none"/>
                <w:lang w:eastAsia="zh-CN"/>
              </w:rPr>
              <w:t>轿</w:t>
            </w:r>
            <w:r>
              <w:rPr>
                <w:rFonts w:hint="eastAsia" w:ascii="宋体" w:hAnsi="宋体" w:eastAsia="宋体" w:cs="宋体"/>
                <w:color w:val="auto"/>
                <w:sz w:val="21"/>
                <w:szCs w:val="21"/>
                <w:highlight w:val="none"/>
              </w:rPr>
              <w:t>顶检修开关、急停开关（9）导靴上油杯(10)对重块及其压板 (11) 井道照明 (12)</w:t>
            </w:r>
            <w:r>
              <w:rPr>
                <w:rFonts w:hint="eastAsia" w:ascii="宋体" w:hAnsi="宋体" w:eastAsia="宋体" w:cs="宋体"/>
                <w:color w:val="auto"/>
                <w:sz w:val="21"/>
                <w:szCs w:val="21"/>
                <w:highlight w:val="none"/>
                <w:lang w:eastAsia="zh-CN"/>
              </w:rPr>
              <w:t>轿</w:t>
            </w:r>
            <w:r>
              <w:rPr>
                <w:rFonts w:hint="eastAsia" w:ascii="宋体" w:hAnsi="宋体" w:eastAsia="宋体" w:cs="宋体"/>
                <w:color w:val="auto"/>
                <w:sz w:val="21"/>
                <w:szCs w:val="21"/>
                <w:highlight w:val="none"/>
              </w:rPr>
              <w:t xml:space="preserve">厢照明、风扇、应急照明 (13) </w:t>
            </w:r>
            <w:r>
              <w:rPr>
                <w:rFonts w:hint="eastAsia" w:ascii="宋体" w:hAnsi="宋体" w:eastAsia="宋体" w:cs="宋体"/>
                <w:color w:val="auto"/>
                <w:sz w:val="21"/>
                <w:szCs w:val="21"/>
                <w:highlight w:val="none"/>
                <w:lang w:eastAsia="zh-CN"/>
              </w:rPr>
              <w:t>轿</w:t>
            </w:r>
            <w:r>
              <w:rPr>
                <w:rFonts w:hint="eastAsia" w:ascii="宋体" w:hAnsi="宋体" w:eastAsia="宋体" w:cs="宋体"/>
                <w:color w:val="auto"/>
                <w:sz w:val="21"/>
                <w:szCs w:val="21"/>
                <w:highlight w:val="none"/>
              </w:rPr>
              <w:t>厢检修开关、急停开关 (14)</w:t>
            </w:r>
            <w:r>
              <w:rPr>
                <w:rFonts w:hint="eastAsia" w:ascii="宋体" w:hAnsi="宋体" w:eastAsia="宋体" w:cs="宋体"/>
                <w:color w:val="auto"/>
                <w:sz w:val="21"/>
                <w:szCs w:val="21"/>
                <w:highlight w:val="none"/>
                <w:lang w:eastAsia="zh-CN"/>
              </w:rPr>
              <w:t>轿</w:t>
            </w:r>
            <w:r>
              <w:rPr>
                <w:rFonts w:hint="eastAsia" w:ascii="宋体" w:hAnsi="宋体" w:eastAsia="宋体" w:cs="宋体"/>
                <w:color w:val="auto"/>
                <w:sz w:val="21"/>
                <w:szCs w:val="21"/>
                <w:highlight w:val="none"/>
              </w:rPr>
              <w:t>内报警装置、对讲系统 (15)</w:t>
            </w:r>
            <w:r>
              <w:rPr>
                <w:rFonts w:hint="eastAsia" w:ascii="宋体" w:hAnsi="宋体" w:eastAsia="宋体" w:cs="宋体"/>
                <w:color w:val="auto"/>
                <w:sz w:val="21"/>
                <w:szCs w:val="21"/>
                <w:highlight w:val="none"/>
                <w:lang w:eastAsia="zh-CN"/>
              </w:rPr>
              <w:t>轿</w:t>
            </w:r>
            <w:r>
              <w:rPr>
                <w:rFonts w:hint="eastAsia" w:ascii="宋体" w:hAnsi="宋体" w:eastAsia="宋体" w:cs="宋体"/>
                <w:color w:val="auto"/>
                <w:sz w:val="21"/>
                <w:szCs w:val="21"/>
                <w:highlight w:val="none"/>
              </w:rPr>
              <w:t xml:space="preserve">内显示、指令按钮 (16) </w:t>
            </w:r>
            <w:r>
              <w:rPr>
                <w:rFonts w:hint="eastAsia" w:ascii="宋体" w:hAnsi="宋体" w:eastAsia="宋体" w:cs="宋体"/>
                <w:color w:val="auto"/>
                <w:sz w:val="21"/>
                <w:szCs w:val="21"/>
                <w:highlight w:val="none"/>
                <w:lang w:eastAsia="zh-CN"/>
              </w:rPr>
              <w:t>轿</w:t>
            </w:r>
            <w:r>
              <w:rPr>
                <w:rFonts w:hint="eastAsia" w:ascii="宋体" w:hAnsi="宋体" w:eastAsia="宋体" w:cs="宋体"/>
                <w:color w:val="auto"/>
                <w:sz w:val="21"/>
                <w:szCs w:val="21"/>
                <w:highlight w:val="none"/>
              </w:rPr>
              <w:t>门安全装置（安全触板、光幕、光电等） (17)</w:t>
            </w:r>
            <w:r>
              <w:rPr>
                <w:rFonts w:hint="eastAsia" w:ascii="宋体" w:hAnsi="宋体" w:eastAsia="宋体" w:cs="宋体"/>
                <w:color w:val="auto"/>
                <w:sz w:val="21"/>
                <w:szCs w:val="21"/>
                <w:highlight w:val="none"/>
                <w:lang w:eastAsia="zh-CN"/>
              </w:rPr>
              <w:t>轿</w:t>
            </w:r>
            <w:r>
              <w:rPr>
                <w:rFonts w:hint="eastAsia" w:ascii="宋体" w:hAnsi="宋体" w:eastAsia="宋体" w:cs="宋体"/>
                <w:color w:val="auto"/>
                <w:sz w:val="21"/>
                <w:szCs w:val="21"/>
                <w:highlight w:val="none"/>
              </w:rPr>
              <w:t xml:space="preserve">门门锁电气触点 (18) </w:t>
            </w:r>
            <w:r>
              <w:rPr>
                <w:rFonts w:hint="eastAsia" w:ascii="宋体" w:hAnsi="宋体" w:eastAsia="宋体" w:cs="宋体"/>
                <w:color w:val="auto"/>
                <w:sz w:val="21"/>
                <w:szCs w:val="21"/>
                <w:highlight w:val="none"/>
                <w:lang w:eastAsia="zh-CN"/>
              </w:rPr>
              <w:t>轿</w:t>
            </w:r>
            <w:r>
              <w:rPr>
                <w:rFonts w:hint="eastAsia" w:ascii="宋体" w:hAnsi="宋体" w:eastAsia="宋体" w:cs="宋体"/>
                <w:color w:val="auto"/>
                <w:sz w:val="21"/>
                <w:szCs w:val="21"/>
                <w:highlight w:val="none"/>
              </w:rPr>
              <w:t>门运行 (19)</w:t>
            </w:r>
            <w:r>
              <w:rPr>
                <w:rFonts w:hint="eastAsia" w:ascii="宋体" w:hAnsi="宋体" w:eastAsia="宋体" w:cs="宋体"/>
                <w:color w:val="auto"/>
                <w:sz w:val="21"/>
                <w:szCs w:val="21"/>
                <w:highlight w:val="none"/>
                <w:lang w:eastAsia="zh-CN"/>
              </w:rPr>
              <w:t>轿</w:t>
            </w:r>
            <w:r>
              <w:rPr>
                <w:rFonts w:hint="eastAsia" w:ascii="宋体" w:hAnsi="宋体" w:eastAsia="宋体" w:cs="宋体"/>
                <w:color w:val="auto"/>
                <w:sz w:val="21"/>
                <w:szCs w:val="21"/>
                <w:highlight w:val="none"/>
              </w:rPr>
              <w:t>厢平层精度 (20)层站召唤、层楼显示(21) 层门地坎清洁 (22)层门自动关门装置 (23)层门门锁自动复位(24)层门门锁电气触点 (25)层门锁紧元件啮合长 (26)底坑环境 (27)底坑急停开关</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以上安全部件按国家要求不超过15天保养一次</w:t>
            </w:r>
            <w:r>
              <w:rPr>
                <w:rFonts w:hint="eastAsia" w:ascii="宋体" w:hAnsi="宋体" w:cs="宋体"/>
                <w:color w:val="auto"/>
                <w:sz w:val="21"/>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146" w:hRule="atLeast"/>
          <w:jc w:val="center"/>
        </w:trPr>
        <w:tc>
          <w:tcPr>
            <w:tcW w:w="1117" w:type="dxa"/>
            <w:gridSpan w:val="2"/>
            <w:vMerge w:val="continue"/>
            <w:tcBorders>
              <w:tl2br w:val="nil"/>
              <w:tr2bl w:val="nil"/>
            </w:tcBorders>
            <w:shd w:val="clear" w:color="auto" w:fill="FFFFFF"/>
            <w:noWrap w:val="0"/>
            <w:tcMar>
              <w:top w:w="0" w:type="dxa"/>
              <w:left w:w="108" w:type="dxa"/>
              <w:bottom w:w="0" w:type="dxa"/>
              <w:right w:w="108" w:type="dxa"/>
            </w:tcMar>
            <w:vAlign w:val="center"/>
          </w:tcPr>
          <w:p>
            <w:pPr>
              <w:snapToGrid w:val="0"/>
              <w:spacing w:line="364" w:lineRule="exact"/>
              <w:jc w:val="center"/>
              <w:rPr>
                <w:rFonts w:hint="eastAsia" w:ascii="宋体" w:hAnsi="宋体" w:eastAsia="宋体" w:cs="宋体"/>
                <w:color w:val="auto"/>
                <w:sz w:val="21"/>
                <w:szCs w:val="21"/>
                <w:highlight w:val="none"/>
              </w:rPr>
            </w:pPr>
          </w:p>
        </w:tc>
        <w:tc>
          <w:tcPr>
            <w:tcW w:w="8653" w:type="dxa"/>
            <w:gridSpan w:val="6"/>
            <w:tcBorders>
              <w:tl2br w:val="nil"/>
              <w:tr2bl w:val="nil"/>
            </w:tcBorders>
            <w:shd w:val="clear" w:color="auto" w:fill="FFFFFF"/>
            <w:noWrap w:val="0"/>
            <w:tcMar>
              <w:top w:w="0" w:type="dxa"/>
              <w:left w:w="108" w:type="dxa"/>
              <w:bottom w:w="0" w:type="dxa"/>
              <w:right w:w="108" w:type="dxa"/>
            </w:tcMar>
            <w:vAlign w:val="center"/>
          </w:tcPr>
          <w:p>
            <w:pPr>
              <w:spacing w:line="364"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(1)减速机润滑油 (2)制动衬 (3) 平层感应器 （4）编码器 (5)曳引轮槽、曳引钢丝绳 (6)限速器轮槽、限速器钢丝绳(7)导靴靴衬、滚轮 (8)验证</w:t>
            </w:r>
            <w:r>
              <w:rPr>
                <w:rFonts w:hint="eastAsia" w:ascii="宋体" w:hAnsi="宋体" w:eastAsia="宋体" w:cs="宋体"/>
                <w:color w:val="auto"/>
                <w:sz w:val="21"/>
                <w:szCs w:val="21"/>
                <w:highlight w:val="none"/>
                <w:lang w:eastAsia="zh-CN"/>
              </w:rPr>
              <w:t>轿</w:t>
            </w:r>
            <w:r>
              <w:rPr>
                <w:rFonts w:hint="eastAsia" w:ascii="宋体" w:hAnsi="宋体" w:eastAsia="宋体" w:cs="宋体"/>
                <w:color w:val="auto"/>
                <w:sz w:val="21"/>
                <w:szCs w:val="21"/>
                <w:highlight w:val="none"/>
              </w:rPr>
              <w:t>门关闭的电气安全装置 (9)层门、</w:t>
            </w:r>
            <w:r>
              <w:rPr>
                <w:rFonts w:hint="eastAsia" w:ascii="宋体" w:hAnsi="宋体" w:eastAsia="宋体" w:cs="宋体"/>
                <w:color w:val="auto"/>
                <w:sz w:val="21"/>
                <w:szCs w:val="21"/>
                <w:highlight w:val="none"/>
                <w:lang w:eastAsia="zh-CN"/>
              </w:rPr>
              <w:t>轿</w:t>
            </w:r>
            <w:r>
              <w:rPr>
                <w:rFonts w:hint="eastAsia" w:ascii="宋体" w:hAnsi="宋体" w:eastAsia="宋体" w:cs="宋体"/>
                <w:color w:val="auto"/>
                <w:sz w:val="21"/>
                <w:szCs w:val="21"/>
                <w:highlight w:val="none"/>
              </w:rPr>
              <w:t>门系统中传动钢丝绳、链条、胶带 (10)层门门导靴 (11)消防开关 (12)耗能缓冲器，电气开关正常，油量适宜，柱塞无锈蚀 (13)限速器涨紧轮装置和电气安全装置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以上安全部件按国家要求不超过90天保养一次</w:t>
            </w:r>
            <w:r>
              <w:rPr>
                <w:rFonts w:hint="eastAsia" w:ascii="宋体" w:hAnsi="宋体" w:cs="宋体"/>
                <w:color w:val="auto"/>
                <w:sz w:val="21"/>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419" w:hRule="atLeast"/>
          <w:jc w:val="center"/>
        </w:trPr>
        <w:tc>
          <w:tcPr>
            <w:tcW w:w="1117" w:type="dxa"/>
            <w:gridSpan w:val="2"/>
            <w:vMerge w:val="continue"/>
            <w:tcBorders>
              <w:tl2br w:val="nil"/>
              <w:tr2bl w:val="nil"/>
            </w:tcBorders>
            <w:shd w:val="clear" w:color="auto" w:fill="FFFFFF"/>
            <w:noWrap w:val="0"/>
            <w:tcMar>
              <w:top w:w="0" w:type="dxa"/>
              <w:left w:w="108" w:type="dxa"/>
              <w:bottom w:w="0" w:type="dxa"/>
              <w:right w:w="108" w:type="dxa"/>
            </w:tcMar>
            <w:vAlign w:val="center"/>
          </w:tcPr>
          <w:p>
            <w:pPr>
              <w:snapToGrid w:val="0"/>
              <w:spacing w:line="364" w:lineRule="exact"/>
              <w:jc w:val="center"/>
              <w:rPr>
                <w:rFonts w:hint="eastAsia" w:ascii="宋体" w:hAnsi="宋体" w:eastAsia="宋体" w:cs="宋体"/>
                <w:color w:val="auto"/>
                <w:sz w:val="21"/>
                <w:szCs w:val="21"/>
                <w:highlight w:val="none"/>
              </w:rPr>
            </w:pPr>
          </w:p>
        </w:tc>
        <w:tc>
          <w:tcPr>
            <w:tcW w:w="8653" w:type="dxa"/>
            <w:gridSpan w:val="6"/>
            <w:tcBorders>
              <w:tl2br w:val="nil"/>
              <w:tr2bl w:val="nil"/>
            </w:tcBorders>
            <w:shd w:val="clear" w:color="auto" w:fill="FFFFFF"/>
            <w:noWrap w:val="0"/>
            <w:tcMar>
              <w:top w:w="0" w:type="dxa"/>
              <w:left w:w="108" w:type="dxa"/>
              <w:bottom w:w="0" w:type="dxa"/>
              <w:right w:w="108" w:type="dxa"/>
            </w:tcMar>
            <w:vAlign w:val="center"/>
          </w:tcPr>
          <w:p>
            <w:pPr>
              <w:spacing w:line="364"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(1)电动机与减速机联轴器螺栓 (2)曳引轮、导向轮轴承部 (3) 曳引轮槽和曳引钢丝绳 (4)制动器上检测开关 (5)控制柜内各接线端子 (6)控制柜各仪表 (7)井道、对重、桥顶各反绳轮轴承部 (8) 曳引绳，补偿绳 (9)曳引绳绳头组合 (10) 限速器钢丝绳 (11)层门、</w:t>
            </w:r>
            <w:r>
              <w:rPr>
                <w:rFonts w:hint="eastAsia" w:ascii="宋体" w:hAnsi="宋体" w:eastAsia="宋体" w:cs="宋体"/>
                <w:color w:val="auto"/>
                <w:sz w:val="21"/>
                <w:szCs w:val="21"/>
                <w:highlight w:val="none"/>
                <w:lang w:eastAsia="zh-CN"/>
              </w:rPr>
              <w:t>轿</w:t>
            </w:r>
            <w:r>
              <w:rPr>
                <w:rFonts w:hint="eastAsia" w:ascii="宋体" w:hAnsi="宋体" w:eastAsia="宋体" w:cs="宋体"/>
                <w:color w:val="auto"/>
                <w:sz w:val="21"/>
                <w:szCs w:val="21"/>
                <w:highlight w:val="none"/>
              </w:rPr>
              <w:t>门门扇 (12)对重缓冲距 (13)补偿链与</w:t>
            </w:r>
            <w:r>
              <w:rPr>
                <w:rFonts w:hint="eastAsia" w:ascii="宋体" w:hAnsi="宋体" w:eastAsia="宋体" w:cs="宋体"/>
                <w:color w:val="auto"/>
                <w:sz w:val="21"/>
                <w:szCs w:val="21"/>
                <w:highlight w:val="none"/>
                <w:lang w:eastAsia="zh-CN"/>
              </w:rPr>
              <w:t>轿</w:t>
            </w:r>
            <w:r>
              <w:rPr>
                <w:rFonts w:hint="eastAsia" w:ascii="宋体" w:hAnsi="宋体" w:eastAsia="宋体" w:cs="宋体"/>
                <w:color w:val="auto"/>
                <w:sz w:val="21"/>
                <w:szCs w:val="21"/>
                <w:highlight w:val="none"/>
              </w:rPr>
              <w:t>厢、对重接合处 (14)上下极限开关</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以上安全部件按国家要求不超过180天保养一次</w:t>
            </w:r>
            <w:r>
              <w:rPr>
                <w:rFonts w:hint="eastAsia" w:ascii="宋体" w:hAnsi="宋体" w:cs="宋体"/>
                <w:color w:val="auto"/>
                <w:sz w:val="21"/>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2364" w:hRule="atLeast"/>
          <w:jc w:val="center"/>
        </w:trPr>
        <w:tc>
          <w:tcPr>
            <w:tcW w:w="1117" w:type="dxa"/>
            <w:gridSpan w:val="2"/>
            <w:vMerge w:val="continue"/>
            <w:tcBorders>
              <w:tl2br w:val="nil"/>
              <w:tr2bl w:val="nil"/>
            </w:tcBorders>
            <w:shd w:val="clear" w:color="auto" w:fill="FFFFFF"/>
            <w:noWrap w:val="0"/>
            <w:tcMar>
              <w:top w:w="0" w:type="dxa"/>
              <w:left w:w="108" w:type="dxa"/>
              <w:bottom w:w="0" w:type="dxa"/>
              <w:right w:w="108" w:type="dxa"/>
            </w:tcMar>
            <w:vAlign w:val="center"/>
          </w:tcPr>
          <w:p>
            <w:pPr>
              <w:snapToGrid w:val="0"/>
              <w:spacing w:line="364" w:lineRule="exact"/>
              <w:jc w:val="center"/>
              <w:rPr>
                <w:rFonts w:hint="eastAsia" w:ascii="宋体" w:hAnsi="宋体" w:eastAsia="宋体" w:cs="宋体"/>
                <w:color w:val="auto"/>
                <w:sz w:val="21"/>
                <w:szCs w:val="21"/>
                <w:highlight w:val="none"/>
              </w:rPr>
            </w:pPr>
          </w:p>
        </w:tc>
        <w:tc>
          <w:tcPr>
            <w:tcW w:w="8653" w:type="dxa"/>
            <w:gridSpan w:val="6"/>
            <w:tcBorders>
              <w:tl2br w:val="nil"/>
              <w:tr2bl w:val="nil"/>
            </w:tcBorders>
            <w:shd w:val="clear" w:color="auto" w:fill="FFFFFF"/>
            <w:noWrap w:val="0"/>
            <w:tcMar>
              <w:top w:w="0" w:type="dxa"/>
              <w:left w:w="108" w:type="dxa"/>
              <w:bottom w:w="0" w:type="dxa"/>
              <w:right w:w="108" w:type="dxa"/>
            </w:tcMar>
            <w:vAlign w:val="center"/>
          </w:tcPr>
          <w:p>
            <w:pPr>
              <w:spacing w:line="364"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(1)减速机润滑油 (2)控制柜接触器，继电器触点 (3)制动器铁芯（柱塞）  (4)制动器制动弹簧压缩量 (5)导电回路绝缘性能测试 (6)限速器安全钳联动测试（每两年进行一次限速器动作速度测试） (7) 上行超速保护装置动作试验 (8)</w:t>
            </w:r>
            <w:r>
              <w:rPr>
                <w:rFonts w:hint="eastAsia" w:ascii="宋体" w:hAnsi="宋体" w:eastAsia="宋体" w:cs="宋体"/>
                <w:color w:val="auto"/>
                <w:sz w:val="21"/>
                <w:szCs w:val="21"/>
                <w:highlight w:val="none"/>
                <w:lang w:eastAsia="zh-CN"/>
              </w:rPr>
              <w:t>轿</w:t>
            </w:r>
            <w:r>
              <w:rPr>
                <w:rFonts w:hint="eastAsia" w:ascii="宋体" w:hAnsi="宋体" w:eastAsia="宋体" w:cs="宋体"/>
                <w:color w:val="auto"/>
                <w:sz w:val="21"/>
                <w:szCs w:val="21"/>
                <w:highlight w:val="none"/>
              </w:rPr>
              <w:t>顶、</w:t>
            </w:r>
            <w:r>
              <w:rPr>
                <w:rFonts w:hint="eastAsia" w:ascii="宋体" w:hAnsi="宋体" w:eastAsia="宋体" w:cs="宋体"/>
                <w:color w:val="auto"/>
                <w:sz w:val="21"/>
                <w:szCs w:val="21"/>
                <w:highlight w:val="none"/>
                <w:lang w:eastAsia="zh-CN"/>
              </w:rPr>
              <w:t>轿</w:t>
            </w:r>
            <w:r>
              <w:rPr>
                <w:rFonts w:hint="eastAsia" w:ascii="宋体" w:hAnsi="宋体" w:eastAsia="宋体" w:cs="宋体"/>
                <w:color w:val="auto"/>
                <w:sz w:val="21"/>
                <w:szCs w:val="21"/>
                <w:highlight w:val="none"/>
              </w:rPr>
              <w:t>厢架、</w:t>
            </w:r>
            <w:r>
              <w:rPr>
                <w:rFonts w:hint="eastAsia" w:ascii="宋体" w:hAnsi="宋体" w:eastAsia="宋体" w:cs="宋体"/>
                <w:color w:val="auto"/>
                <w:sz w:val="21"/>
                <w:szCs w:val="21"/>
                <w:highlight w:val="none"/>
                <w:lang w:eastAsia="zh-CN"/>
              </w:rPr>
              <w:t>轿</w:t>
            </w:r>
            <w:r>
              <w:rPr>
                <w:rFonts w:hint="eastAsia" w:ascii="宋体" w:hAnsi="宋体" w:eastAsia="宋体" w:cs="宋体"/>
                <w:color w:val="auto"/>
                <w:sz w:val="21"/>
                <w:szCs w:val="21"/>
                <w:highlight w:val="none"/>
              </w:rPr>
              <w:t xml:space="preserve">门及其附件安装螺栓 (9) </w:t>
            </w:r>
            <w:r>
              <w:rPr>
                <w:rFonts w:hint="eastAsia" w:ascii="宋体" w:hAnsi="宋体" w:eastAsia="宋体" w:cs="宋体"/>
                <w:color w:val="auto"/>
                <w:sz w:val="21"/>
                <w:szCs w:val="21"/>
                <w:highlight w:val="none"/>
                <w:lang w:eastAsia="zh-CN"/>
              </w:rPr>
              <w:t>轿</w:t>
            </w:r>
            <w:r>
              <w:rPr>
                <w:rFonts w:hint="eastAsia" w:ascii="宋体" w:hAnsi="宋体" w:eastAsia="宋体" w:cs="宋体"/>
                <w:color w:val="auto"/>
                <w:sz w:val="21"/>
                <w:szCs w:val="21"/>
                <w:highlight w:val="none"/>
              </w:rPr>
              <w:t>厢和对重的导轨支架 (10)</w:t>
            </w:r>
            <w:r>
              <w:rPr>
                <w:rFonts w:hint="eastAsia" w:ascii="宋体" w:hAnsi="宋体" w:eastAsia="宋体" w:cs="宋体"/>
                <w:color w:val="auto"/>
                <w:sz w:val="21"/>
                <w:szCs w:val="21"/>
                <w:highlight w:val="none"/>
                <w:lang w:eastAsia="zh-CN"/>
              </w:rPr>
              <w:t>轿</w:t>
            </w:r>
            <w:r>
              <w:rPr>
                <w:rFonts w:hint="eastAsia" w:ascii="宋体" w:hAnsi="宋体" w:eastAsia="宋体" w:cs="宋体"/>
                <w:color w:val="auto"/>
                <w:sz w:val="21"/>
                <w:szCs w:val="21"/>
                <w:highlight w:val="none"/>
              </w:rPr>
              <w:t>厢和对重的导轨 (11)随行电缆 (12)层门装置和地坎 (13)</w:t>
            </w:r>
            <w:r>
              <w:rPr>
                <w:rFonts w:hint="eastAsia" w:ascii="宋体" w:hAnsi="宋体" w:eastAsia="宋体" w:cs="宋体"/>
                <w:color w:val="auto"/>
                <w:sz w:val="21"/>
                <w:szCs w:val="21"/>
                <w:highlight w:val="none"/>
                <w:lang w:eastAsia="zh-CN"/>
              </w:rPr>
              <w:t>轿</w:t>
            </w:r>
            <w:r>
              <w:rPr>
                <w:rFonts w:hint="eastAsia" w:ascii="宋体" w:hAnsi="宋体" w:eastAsia="宋体" w:cs="宋体"/>
                <w:color w:val="auto"/>
                <w:sz w:val="21"/>
                <w:szCs w:val="21"/>
                <w:highlight w:val="none"/>
              </w:rPr>
              <w:t>厢称重装置 (14) 安全钳钳座 (15)</w:t>
            </w:r>
            <w:r>
              <w:rPr>
                <w:rFonts w:hint="eastAsia" w:ascii="宋体" w:hAnsi="宋体" w:eastAsia="宋体" w:cs="宋体"/>
                <w:color w:val="auto"/>
                <w:sz w:val="21"/>
                <w:szCs w:val="21"/>
                <w:highlight w:val="none"/>
                <w:lang w:eastAsia="zh-CN"/>
              </w:rPr>
              <w:t>轿</w:t>
            </w:r>
            <w:r>
              <w:rPr>
                <w:rFonts w:hint="eastAsia" w:ascii="宋体" w:hAnsi="宋体" w:eastAsia="宋体" w:cs="宋体"/>
                <w:color w:val="auto"/>
                <w:sz w:val="21"/>
                <w:szCs w:val="21"/>
                <w:highlight w:val="none"/>
              </w:rPr>
              <w:t>底各安装螺栓(16)缓冲器油量，固定、无松动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以上安全部件按国家要求不超过360天保养一次</w:t>
            </w:r>
            <w:r>
              <w:rPr>
                <w:rFonts w:hint="eastAsia" w:ascii="宋体" w:hAnsi="宋体" w:cs="宋体"/>
                <w:color w:val="auto"/>
                <w:sz w:val="21"/>
                <w:szCs w:val="21"/>
                <w:highlight w:val="none"/>
                <w:lang w:eastAsia="zh-CN"/>
              </w:rPr>
              <w:t>。</w:t>
            </w:r>
          </w:p>
        </w:tc>
      </w:tr>
    </w:tbl>
    <w:p>
      <w:pPr>
        <w:spacing w:line="560" w:lineRule="exact"/>
        <w:rPr>
          <w:rFonts w:hint="eastAsia" w:ascii="仿宋" w:hAnsi="仿宋" w:eastAsia="仿宋" w:cs="宋体"/>
          <w:bCs/>
          <w:color w:val="auto"/>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b/>
          <w:bCs w:val="0"/>
          <w:kern w:val="0"/>
          <w:sz w:val="24"/>
          <w:szCs w:val="24"/>
          <w:lang w:val="en-US" w:eastAsia="zh-CN"/>
        </w:rPr>
      </w:pPr>
      <w:r>
        <w:rPr>
          <w:rFonts w:hint="eastAsia" w:ascii="仿宋" w:hAnsi="仿宋" w:eastAsia="仿宋" w:cs="仿宋"/>
          <w:b/>
          <w:bCs w:val="0"/>
          <w:kern w:val="0"/>
          <w:sz w:val="24"/>
          <w:szCs w:val="24"/>
          <w:lang w:eastAsia="zh-CN"/>
        </w:rPr>
        <w:t>附件</w:t>
      </w:r>
      <w:r>
        <w:rPr>
          <w:rFonts w:hint="eastAsia" w:ascii="仿宋" w:hAnsi="仿宋" w:eastAsia="仿宋" w:cs="仿宋"/>
          <w:b/>
          <w:bCs w:val="0"/>
          <w:kern w:val="0"/>
          <w:sz w:val="24"/>
          <w:szCs w:val="24"/>
          <w:lang w:val="en-US" w:eastAsia="zh-CN"/>
        </w:rPr>
        <w:t>2：</w:t>
      </w:r>
    </w:p>
    <w:p>
      <w:pPr>
        <w:spacing w:line="560" w:lineRule="exact"/>
        <w:jc w:val="center"/>
        <w:rPr>
          <w:rFonts w:hint="eastAsia" w:ascii="仿宋" w:hAnsi="仿宋" w:eastAsia="仿宋" w:cs="宋体"/>
          <w:b/>
          <w:color w:val="auto"/>
          <w:kern w:val="0"/>
          <w:sz w:val="32"/>
          <w:szCs w:val="32"/>
          <w:highlight w:val="none"/>
          <w:lang w:eastAsia="zh-CN"/>
        </w:rPr>
      </w:pPr>
      <w:r>
        <w:rPr>
          <w:rFonts w:hint="eastAsia" w:ascii="仿宋" w:hAnsi="仿宋" w:eastAsia="仿宋" w:cs="宋体"/>
          <w:b/>
          <w:color w:val="auto"/>
          <w:kern w:val="0"/>
          <w:sz w:val="32"/>
          <w:szCs w:val="32"/>
          <w:highlight w:val="none"/>
        </w:rPr>
        <w:t>竞标报价表</w:t>
      </w:r>
      <w:r>
        <w:rPr>
          <w:rFonts w:hint="eastAsia" w:ascii="仿宋" w:hAnsi="仿宋" w:eastAsia="仿宋" w:cs="宋体"/>
          <w:b/>
          <w:color w:val="auto"/>
          <w:kern w:val="0"/>
          <w:sz w:val="32"/>
          <w:szCs w:val="32"/>
          <w:highlight w:val="none"/>
          <w:lang w:eastAsia="zh-CN"/>
        </w:rPr>
        <w:t>（格式）</w:t>
      </w:r>
    </w:p>
    <w:tbl>
      <w:tblPr>
        <w:tblStyle w:val="4"/>
        <w:tblW w:w="95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5"/>
        <w:gridCol w:w="1515"/>
        <w:gridCol w:w="753"/>
        <w:gridCol w:w="775"/>
        <w:gridCol w:w="1080"/>
        <w:gridCol w:w="1427"/>
        <w:gridCol w:w="1350"/>
        <w:gridCol w:w="17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5" w:type="dxa"/>
            <w:vAlign w:val="center"/>
          </w:tcPr>
          <w:p>
            <w:pPr>
              <w:widowControl/>
              <w:jc w:val="center"/>
              <w:rPr>
                <w:sz w:val="21"/>
                <w:szCs w:val="21"/>
              </w:rPr>
            </w:pPr>
            <w:r>
              <w:rPr>
                <w:rFonts w:hint="eastAsia"/>
                <w:sz w:val="21"/>
                <w:szCs w:val="21"/>
              </w:rPr>
              <w:t>序号</w:t>
            </w:r>
          </w:p>
        </w:tc>
        <w:tc>
          <w:tcPr>
            <w:tcW w:w="1515" w:type="dxa"/>
            <w:vAlign w:val="center"/>
          </w:tcPr>
          <w:p>
            <w:pPr>
              <w:widowControl/>
              <w:jc w:val="center"/>
              <w:rPr>
                <w:sz w:val="21"/>
                <w:szCs w:val="21"/>
              </w:rPr>
            </w:pPr>
            <w:r>
              <w:rPr>
                <w:rFonts w:hint="eastAsia"/>
                <w:sz w:val="21"/>
                <w:szCs w:val="21"/>
              </w:rPr>
              <w:t>电梯品牌</w:t>
            </w:r>
          </w:p>
        </w:tc>
        <w:tc>
          <w:tcPr>
            <w:tcW w:w="753" w:type="dxa"/>
            <w:vAlign w:val="center"/>
          </w:tcPr>
          <w:p>
            <w:pPr>
              <w:widowControl/>
              <w:jc w:val="center"/>
              <w:rPr>
                <w:sz w:val="21"/>
                <w:szCs w:val="21"/>
              </w:rPr>
            </w:pPr>
            <w:r>
              <w:rPr>
                <w:rFonts w:hint="eastAsia"/>
                <w:sz w:val="21"/>
                <w:szCs w:val="21"/>
              </w:rPr>
              <w:t>层/站</w:t>
            </w:r>
          </w:p>
        </w:tc>
        <w:tc>
          <w:tcPr>
            <w:tcW w:w="775" w:type="dxa"/>
            <w:vAlign w:val="center"/>
          </w:tcPr>
          <w:p>
            <w:pPr>
              <w:widowControl/>
              <w:jc w:val="center"/>
              <w:rPr>
                <w:sz w:val="21"/>
                <w:szCs w:val="21"/>
              </w:rPr>
            </w:pPr>
            <w:r>
              <w:rPr>
                <w:rFonts w:hint="eastAsia"/>
                <w:sz w:val="21"/>
                <w:szCs w:val="21"/>
              </w:rPr>
              <w:t>台数</w:t>
            </w:r>
          </w:p>
        </w:tc>
        <w:tc>
          <w:tcPr>
            <w:tcW w:w="1080" w:type="dxa"/>
            <w:vAlign w:val="center"/>
          </w:tcPr>
          <w:p>
            <w:pPr>
              <w:widowControl/>
              <w:jc w:val="center"/>
              <w:rPr>
                <w:rFonts w:hint="eastAsia" w:ascii="Times New Roman" w:hAnsi="Times New Roman" w:eastAsia="宋体" w:cs="Times New Roman"/>
                <w:kern w:val="2"/>
                <w:sz w:val="21"/>
                <w:szCs w:val="21"/>
                <w:lang w:val="en-US" w:eastAsia="zh-CN" w:bidi="ar-SA"/>
              </w:rPr>
            </w:pPr>
            <w:r>
              <w:rPr>
                <w:rFonts w:hint="eastAsia"/>
                <w:sz w:val="21"/>
                <w:szCs w:val="21"/>
              </w:rPr>
              <w:t>地点</w:t>
            </w:r>
          </w:p>
        </w:tc>
        <w:tc>
          <w:tcPr>
            <w:tcW w:w="1427" w:type="dxa"/>
            <w:vAlign w:val="center"/>
          </w:tcPr>
          <w:p>
            <w:pPr>
              <w:widowControl/>
              <w:jc w:val="center"/>
              <w:rPr>
                <w:sz w:val="21"/>
                <w:szCs w:val="21"/>
              </w:rPr>
            </w:pPr>
            <w:r>
              <w:rPr>
                <w:rFonts w:hint="eastAsia"/>
                <w:sz w:val="21"/>
                <w:szCs w:val="21"/>
              </w:rPr>
              <w:t>单价     （</w:t>
            </w:r>
            <w:r>
              <w:rPr>
                <w:rFonts w:hint="eastAsia"/>
                <w:sz w:val="21"/>
                <w:szCs w:val="21"/>
                <w:lang w:eastAsia="zh-CN"/>
              </w:rPr>
              <w:t>元</w:t>
            </w:r>
            <w:r>
              <w:rPr>
                <w:rFonts w:hint="eastAsia"/>
                <w:sz w:val="21"/>
                <w:szCs w:val="21"/>
              </w:rPr>
              <w:t>/台</w:t>
            </w:r>
            <w:r>
              <w:rPr>
                <w:rFonts w:hint="eastAsia"/>
                <w:sz w:val="21"/>
                <w:szCs w:val="21"/>
                <w:lang w:val="en-US" w:eastAsia="zh-CN"/>
              </w:rPr>
              <w:t>.</w:t>
            </w:r>
            <w:r>
              <w:rPr>
                <w:rFonts w:hint="eastAsia"/>
                <w:sz w:val="21"/>
                <w:szCs w:val="21"/>
              </w:rPr>
              <w:t>月）</w:t>
            </w:r>
          </w:p>
        </w:tc>
        <w:tc>
          <w:tcPr>
            <w:tcW w:w="1350" w:type="dxa"/>
            <w:vAlign w:val="center"/>
          </w:tcPr>
          <w:p>
            <w:pPr>
              <w:widowControl/>
              <w:jc w:val="center"/>
              <w:rPr>
                <w:rFonts w:hint="eastAsia"/>
                <w:sz w:val="21"/>
                <w:szCs w:val="21"/>
              </w:rPr>
            </w:pPr>
            <w:r>
              <w:rPr>
                <w:rFonts w:hint="eastAsia"/>
                <w:sz w:val="21"/>
                <w:szCs w:val="21"/>
              </w:rPr>
              <w:t xml:space="preserve">小计  </w:t>
            </w:r>
          </w:p>
          <w:p>
            <w:pPr>
              <w:widowControl/>
              <w:jc w:val="center"/>
              <w:rPr>
                <w:sz w:val="21"/>
                <w:szCs w:val="21"/>
              </w:rPr>
            </w:pPr>
            <w:r>
              <w:rPr>
                <w:rFonts w:hint="eastAsia"/>
                <w:sz w:val="21"/>
                <w:szCs w:val="21"/>
              </w:rPr>
              <w:t>（</w:t>
            </w:r>
            <w:r>
              <w:rPr>
                <w:rFonts w:hint="eastAsia"/>
                <w:sz w:val="21"/>
                <w:szCs w:val="21"/>
                <w:lang w:eastAsia="zh-CN"/>
              </w:rPr>
              <w:t>元</w:t>
            </w:r>
            <w:r>
              <w:rPr>
                <w:rFonts w:hint="eastAsia"/>
                <w:sz w:val="21"/>
                <w:szCs w:val="21"/>
              </w:rPr>
              <w:t>/台</w:t>
            </w:r>
            <w:r>
              <w:rPr>
                <w:rFonts w:hint="eastAsia"/>
                <w:sz w:val="21"/>
                <w:szCs w:val="21"/>
                <w:lang w:val="en-US" w:eastAsia="zh-CN"/>
              </w:rPr>
              <w:t>.</w:t>
            </w:r>
            <w:r>
              <w:rPr>
                <w:rFonts w:hint="eastAsia"/>
                <w:sz w:val="21"/>
                <w:szCs w:val="21"/>
              </w:rPr>
              <w:t>年）</w:t>
            </w:r>
          </w:p>
        </w:tc>
        <w:tc>
          <w:tcPr>
            <w:tcW w:w="1773" w:type="dxa"/>
            <w:tcBorders>
              <w:top w:val="single" w:color="auto" w:sz="4" w:space="0"/>
            </w:tcBorders>
            <w:vAlign w:val="center"/>
          </w:tcPr>
          <w:p>
            <w:pPr>
              <w:widowControl/>
              <w:jc w:val="center"/>
              <w:rPr>
                <w:sz w:val="21"/>
                <w:szCs w:val="21"/>
              </w:rPr>
            </w:pPr>
            <w:r>
              <w:rPr>
                <w:rFonts w:hint="eastAsia"/>
                <w:sz w:val="21"/>
                <w:szCs w:val="21"/>
              </w:rPr>
              <w:t>合计</w:t>
            </w:r>
          </w:p>
          <w:p>
            <w:pPr>
              <w:widowControl/>
              <w:jc w:val="center"/>
              <w:rPr>
                <w:sz w:val="21"/>
                <w:szCs w:val="21"/>
              </w:rPr>
            </w:pPr>
            <w:r>
              <w:rPr>
                <w:rFonts w:hint="eastAsia"/>
                <w:sz w:val="21"/>
                <w:szCs w:val="21"/>
              </w:rPr>
              <w:t>（元/年）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865" w:type="dxa"/>
            <w:vAlign w:val="center"/>
          </w:tcPr>
          <w:p>
            <w:pPr>
              <w:widowControl/>
              <w:jc w:val="center"/>
              <w:rPr>
                <w:sz w:val="21"/>
                <w:szCs w:val="21"/>
              </w:rPr>
            </w:pPr>
            <w:r>
              <w:rPr>
                <w:rFonts w:hint="eastAsia"/>
                <w:sz w:val="21"/>
                <w:szCs w:val="21"/>
              </w:rPr>
              <w:t>1</w:t>
            </w:r>
          </w:p>
        </w:tc>
        <w:tc>
          <w:tcPr>
            <w:tcW w:w="1515" w:type="dxa"/>
            <w:vAlign w:val="center"/>
          </w:tcPr>
          <w:p>
            <w:pPr>
              <w:widowControl/>
              <w:jc w:val="center"/>
              <w:rPr>
                <w:sz w:val="21"/>
                <w:szCs w:val="21"/>
              </w:rPr>
            </w:pPr>
            <w:r>
              <w:rPr>
                <w:rFonts w:hint="eastAsia"/>
                <w:sz w:val="21"/>
                <w:szCs w:val="21"/>
              </w:rPr>
              <w:t>西子奥的斯</w:t>
            </w:r>
          </w:p>
        </w:tc>
        <w:tc>
          <w:tcPr>
            <w:tcW w:w="753" w:type="dxa"/>
            <w:vAlign w:val="center"/>
          </w:tcPr>
          <w:p>
            <w:pPr>
              <w:widowControl/>
              <w:jc w:val="center"/>
              <w:rPr>
                <w:sz w:val="21"/>
                <w:szCs w:val="21"/>
              </w:rPr>
            </w:pPr>
            <w:r>
              <w:rPr>
                <w:rFonts w:hint="eastAsia"/>
                <w:sz w:val="21"/>
                <w:szCs w:val="21"/>
              </w:rPr>
              <w:t>7/7</w:t>
            </w:r>
          </w:p>
        </w:tc>
        <w:tc>
          <w:tcPr>
            <w:tcW w:w="775" w:type="dxa"/>
            <w:vAlign w:val="center"/>
          </w:tcPr>
          <w:p>
            <w:pPr>
              <w:widowControl/>
              <w:jc w:val="center"/>
              <w:rPr>
                <w:sz w:val="21"/>
                <w:szCs w:val="21"/>
              </w:rPr>
            </w:pPr>
            <w:r>
              <w:rPr>
                <w:rFonts w:hint="eastAsia"/>
                <w:sz w:val="21"/>
                <w:szCs w:val="21"/>
              </w:rPr>
              <w:t>1</w:t>
            </w:r>
          </w:p>
        </w:tc>
        <w:tc>
          <w:tcPr>
            <w:tcW w:w="1080" w:type="dxa"/>
            <w:vAlign w:val="center"/>
          </w:tcPr>
          <w:p>
            <w:pPr>
              <w:widowControl/>
              <w:jc w:val="center"/>
              <w:rPr>
                <w:rFonts w:ascii="Times New Roman" w:hAnsi="Times New Roman" w:eastAsia="宋体" w:cs="Times New Roman"/>
                <w:kern w:val="2"/>
                <w:sz w:val="21"/>
                <w:szCs w:val="21"/>
                <w:lang w:val="en-US" w:eastAsia="zh-CN" w:bidi="ar-SA"/>
              </w:rPr>
            </w:pPr>
            <w:r>
              <w:rPr>
                <w:rFonts w:hint="eastAsia"/>
                <w:sz w:val="21"/>
                <w:szCs w:val="21"/>
              </w:rPr>
              <w:t>长堽校区</w:t>
            </w:r>
          </w:p>
        </w:tc>
        <w:tc>
          <w:tcPr>
            <w:tcW w:w="1427" w:type="dxa"/>
            <w:vAlign w:val="center"/>
          </w:tcPr>
          <w:p>
            <w:pPr>
              <w:widowControl/>
              <w:jc w:val="center"/>
              <w:rPr>
                <w:sz w:val="21"/>
                <w:szCs w:val="21"/>
              </w:rPr>
            </w:pPr>
          </w:p>
        </w:tc>
        <w:tc>
          <w:tcPr>
            <w:tcW w:w="1350" w:type="dxa"/>
            <w:vAlign w:val="center"/>
          </w:tcPr>
          <w:p>
            <w:pPr>
              <w:widowControl/>
              <w:jc w:val="center"/>
              <w:rPr>
                <w:sz w:val="21"/>
                <w:szCs w:val="21"/>
              </w:rPr>
            </w:pPr>
          </w:p>
        </w:tc>
        <w:tc>
          <w:tcPr>
            <w:tcW w:w="1773" w:type="dxa"/>
            <w:vAlign w:val="center"/>
          </w:tcPr>
          <w:p>
            <w:pPr>
              <w:widowControl/>
              <w:jc w:val="cente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865" w:type="dxa"/>
            <w:vAlign w:val="center"/>
          </w:tcPr>
          <w:p>
            <w:pPr>
              <w:widowControl/>
              <w:jc w:val="center"/>
              <w:rPr>
                <w:sz w:val="21"/>
                <w:szCs w:val="21"/>
              </w:rPr>
            </w:pPr>
            <w:r>
              <w:rPr>
                <w:rFonts w:hint="eastAsia"/>
                <w:sz w:val="21"/>
                <w:szCs w:val="21"/>
              </w:rPr>
              <w:t>2</w:t>
            </w:r>
          </w:p>
        </w:tc>
        <w:tc>
          <w:tcPr>
            <w:tcW w:w="1515" w:type="dxa"/>
            <w:vAlign w:val="center"/>
          </w:tcPr>
          <w:p>
            <w:pPr>
              <w:widowControl/>
              <w:jc w:val="center"/>
              <w:rPr>
                <w:sz w:val="21"/>
                <w:szCs w:val="21"/>
              </w:rPr>
            </w:pPr>
            <w:r>
              <w:rPr>
                <w:rFonts w:hint="eastAsia"/>
                <w:sz w:val="21"/>
                <w:szCs w:val="21"/>
              </w:rPr>
              <w:t>西子奥的斯</w:t>
            </w:r>
          </w:p>
        </w:tc>
        <w:tc>
          <w:tcPr>
            <w:tcW w:w="753" w:type="dxa"/>
            <w:vAlign w:val="center"/>
          </w:tcPr>
          <w:p>
            <w:pPr>
              <w:widowControl/>
              <w:jc w:val="center"/>
              <w:rPr>
                <w:sz w:val="21"/>
                <w:szCs w:val="21"/>
              </w:rPr>
            </w:pPr>
            <w:r>
              <w:rPr>
                <w:rFonts w:hint="eastAsia"/>
                <w:sz w:val="21"/>
                <w:szCs w:val="21"/>
              </w:rPr>
              <w:t>3/3  6/6  5/5</w:t>
            </w:r>
          </w:p>
        </w:tc>
        <w:tc>
          <w:tcPr>
            <w:tcW w:w="775" w:type="dxa"/>
            <w:vAlign w:val="center"/>
          </w:tcPr>
          <w:p>
            <w:pPr>
              <w:widowControl/>
              <w:jc w:val="center"/>
              <w:rPr>
                <w:sz w:val="21"/>
                <w:szCs w:val="21"/>
              </w:rPr>
            </w:pPr>
            <w:r>
              <w:rPr>
                <w:rFonts w:hint="eastAsia"/>
                <w:sz w:val="21"/>
                <w:szCs w:val="21"/>
              </w:rPr>
              <w:t>6</w:t>
            </w:r>
          </w:p>
        </w:tc>
        <w:tc>
          <w:tcPr>
            <w:tcW w:w="1080" w:type="dxa"/>
            <w:vAlign w:val="center"/>
          </w:tcPr>
          <w:p>
            <w:pPr>
              <w:widowControl/>
              <w:jc w:val="center"/>
              <w:rPr>
                <w:rFonts w:ascii="Times New Roman" w:hAnsi="Times New Roman" w:eastAsia="宋体" w:cs="Times New Roman"/>
                <w:kern w:val="2"/>
                <w:sz w:val="21"/>
                <w:szCs w:val="21"/>
                <w:lang w:val="en-US" w:eastAsia="zh-CN" w:bidi="ar-SA"/>
              </w:rPr>
            </w:pPr>
            <w:r>
              <w:rPr>
                <w:rFonts w:hint="eastAsia"/>
                <w:sz w:val="21"/>
                <w:szCs w:val="21"/>
              </w:rPr>
              <w:t>里建校区</w:t>
            </w:r>
          </w:p>
        </w:tc>
        <w:tc>
          <w:tcPr>
            <w:tcW w:w="1427" w:type="dxa"/>
            <w:vAlign w:val="center"/>
          </w:tcPr>
          <w:p>
            <w:pPr>
              <w:widowControl/>
              <w:jc w:val="center"/>
              <w:rPr>
                <w:sz w:val="21"/>
                <w:szCs w:val="21"/>
              </w:rPr>
            </w:pPr>
          </w:p>
        </w:tc>
        <w:tc>
          <w:tcPr>
            <w:tcW w:w="1350" w:type="dxa"/>
            <w:vAlign w:val="center"/>
          </w:tcPr>
          <w:p>
            <w:pPr>
              <w:widowControl/>
              <w:jc w:val="center"/>
              <w:rPr>
                <w:sz w:val="21"/>
                <w:szCs w:val="21"/>
              </w:rPr>
            </w:pPr>
          </w:p>
        </w:tc>
        <w:tc>
          <w:tcPr>
            <w:tcW w:w="1773" w:type="dxa"/>
            <w:vAlign w:val="center"/>
          </w:tcPr>
          <w:p>
            <w:pPr>
              <w:widowControl/>
              <w:jc w:val="cente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jc w:val="center"/>
        </w:trPr>
        <w:tc>
          <w:tcPr>
            <w:tcW w:w="865" w:type="dxa"/>
            <w:vAlign w:val="center"/>
          </w:tcPr>
          <w:p>
            <w:pPr>
              <w:widowControl/>
              <w:jc w:val="center"/>
              <w:rPr>
                <w:sz w:val="21"/>
                <w:szCs w:val="21"/>
              </w:rPr>
            </w:pPr>
            <w:r>
              <w:rPr>
                <w:rFonts w:hint="eastAsia"/>
                <w:sz w:val="21"/>
                <w:szCs w:val="21"/>
              </w:rPr>
              <w:t>3</w:t>
            </w:r>
          </w:p>
        </w:tc>
        <w:tc>
          <w:tcPr>
            <w:tcW w:w="1515" w:type="dxa"/>
            <w:vAlign w:val="center"/>
          </w:tcPr>
          <w:p>
            <w:pPr>
              <w:widowControl/>
              <w:jc w:val="center"/>
              <w:rPr>
                <w:sz w:val="21"/>
                <w:szCs w:val="21"/>
              </w:rPr>
            </w:pPr>
            <w:r>
              <w:rPr>
                <w:rFonts w:hint="eastAsia"/>
                <w:sz w:val="21"/>
                <w:szCs w:val="21"/>
              </w:rPr>
              <w:t>住友富士</w:t>
            </w:r>
          </w:p>
        </w:tc>
        <w:tc>
          <w:tcPr>
            <w:tcW w:w="753" w:type="dxa"/>
            <w:vAlign w:val="center"/>
          </w:tcPr>
          <w:p>
            <w:pPr>
              <w:widowControl/>
              <w:jc w:val="center"/>
              <w:rPr>
                <w:sz w:val="21"/>
                <w:szCs w:val="21"/>
              </w:rPr>
            </w:pPr>
            <w:r>
              <w:rPr>
                <w:rFonts w:hint="eastAsia"/>
                <w:sz w:val="21"/>
                <w:szCs w:val="21"/>
              </w:rPr>
              <w:t>3/3</w:t>
            </w:r>
          </w:p>
        </w:tc>
        <w:tc>
          <w:tcPr>
            <w:tcW w:w="775" w:type="dxa"/>
            <w:vAlign w:val="center"/>
          </w:tcPr>
          <w:p>
            <w:pPr>
              <w:widowControl/>
              <w:jc w:val="center"/>
              <w:rPr>
                <w:rFonts w:hint="eastAsia" w:eastAsia="宋体"/>
                <w:sz w:val="21"/>
                <w:szCs w:val="21"/>
                <w:lang w:eastAsia="zh-CN"/>
              </w:rPr>
            </w:pPr>
            <w:r>
              <w:rPr>
                <w:rFonts w:hint="eastAsia"/>
                <w:sz w:val="21"/>
                <w:szCs w:val="21"/>
                <w:lang w:val="en-US" w:eastAsia="zh-CN"/>
              </w:rPr>
              <w:t>1</w:t>
            </w:r>
          </w:p>
        </w:tc>
        <w:tc>
          <w:tcPr>
            <w:tcW w:w="1080" w:type="dxa"/>
            <w:vAlign w:val="center"/>
          </w:tcPr>
          <w:p>
            <w:pPr>
              <w:widowControl/>
              <w:jc w:val="center"/>
              <w:rPr>
                <w:rFonts w:ascii="Times New Roman" w:hAnsi="Times New Roman" w:eastAsia="宋体" w:cs="Times New Roman"/>
                <w:kern w:val="2"/>
                <w:sz w:val="21"/>
                <w:szCs w:val="21"/>
                <w:lang w:val="en-US" w:eastAsia="zh-CN" w:bidi="ar-SA"/>
              </w:rPr>
            </w:pPr>
            <w:r>
              <w:rPr>
                <w:rFonts w:hint="eastAsia"/>
                <w:sz w:val="21"/>
                <w:szCs w:val="21"/>
              </w:rPr>
              <w:t>里建校区</w:t>
            </w:r>
          </w:p>
        </w:tc>
        <w:tc>
          <w:tcPr>
            <w:tcW w:w="1427" w:type="dxa"/>
            <w:vAlign w:val="center"/>
          </w:tcPr>
          <w:p>
            <w:pPr>
              <w:widowControl/>
              <w:jc w:val="center"/>
              <w:rPr>
                <w:sz w:val="21"/>
                <w:szCs w:val="21"/>
              </w:rPr>
            </w:pPr>
          </w:p>
        </w:tc>
        <w:tc>
          <w:tcPr>
            <w:tcW w:w="1350" w:type="dxa"/>
            <w:vAlign w:val="center"/>
          </w:tcPr>
          <w:p>
            <w:pPr>
              <w:widowControl/>
              <w:jc w:val="center"/>
              <w:rPr>
                <w:sz w:val="21"/>
                <w:szCs w:val="21"/>
              </w:rPr>
            </w:pPr>
          </w:p>
        </w:tc>
        <w:tc>
          <w:tcPr>
            <w:tcW w:w="1773" w:type="dxa"/>
            <w:vAlign w:val="center"/>
          </w:tcPr>
          <w:p>
            <w:pPr>
              <w:widowControl/>
              <w:jc w:val="cente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jc w:val="center"/>
        </w:trPr>
        <w:tc>
          <w:tcPr>
            <w:tcW w:w="865" w:type="dxa"/>
            <w:vAlign w:val="center"/>
          </w:tcPr>
          <w:p>
            <w:pPr>
              <w:widowControl/>
              <w:jc w:val="center"/>
              <w:rPr>
                <w:rFonts w:hint="eastAsia"/>
                <w:sz w:val="21"/>
                <w:szCs w:val="21"/>
              </w:rPr>
            </w:pPr>
            <w:r>
              <w:rPr>
                <w:rFonts w:hint="eastAsia"/>
                <w:sz w:val="21"/>
                <w:szCs w:val="21"/>
              </w:rPr>
              <w:t>4</w:t>
            </w:r>
          </w:p>
        </w:tc>
        <w:tc>
          <w:tcPr>
            <w:tcW w:w="1515" w:type="dxa"/>
            <w:vAlign w:val="center"/>
          </w:tcPr>
          <w:p>
            <w:pPr>
              <w:widowControl/>
              <w:jc w:val="center"/>
              <w:rPr>
                <w:rFonts w:hint="eastAsia" w:eastAsia="宋体"/>
                <w:sz w:val="21"/>
                <w:szCs w:val="21"/>
                <w:lang w:eastAsia="zh-CN"/>
              </w:rPr>
            </w:pPr>
            <w:r>
              <w:rPr>
                <w:rFonts w:hint="eastAsia"/>
                <w:sz w:val="21"/>
                <w:szCs w:val="21"/>
                <w:lang w:eastAsia="zh-CN"/>
              </w:rPr>
              <w:t>华达</w:t>
            </w:r>
          </w:p>
        </w:tc>
        <w:tc>
          <w:tcPr>
            <w:tcW w:w="753" w:type="dxa"/>
            <w:vAlign w:val="center"/>
          </w:tcPr>
          <w:p>
            <w:pPr>
              <w:widowControl/>
              <w:jc w:val="center"/>
              <w:rPr>
                <w:rFonts w:hint="default" w:eastAsia="宋体"/>
                <w:sz w:val="21"/>
                <w:szCs w:val="21"/>
                <w:lang w:val="en-US" w:eastAsia="zh-CN"/>
              </w:rPr>
            </w:pPr>
            <w:r>
              <w:rPr>
                <w:rFonts w:hint="eastAsia"/>
                <w:sz w:val="21"/>
                <w:szCs w:val="21"/>
                <w:lang w:val="en-US" w:eastAsia="zh-CN"/>
              </w:rPr>
              <w:t>3/3</w:t>
            </w:r>
          </w:p>
        </w:tc>
        <w:tc>
          <w:tcPr>
            <w:tcW w:w="775" w:type="dxa"/>
            <w:vAlign w:val="center"/>
          </w:tcPr>
          <w:p>
            <w:pPr>
              <w:widowControl/>
              <w:jc w:val="center"/>
              <w:rPr>
                <w:rFonts w:hint="default"/>
                <w:sz w:val="21"/>
                <w:szCs w:val="21"/>
                <w:lang w:val="en-US" w:eastAsia="zh-CN"/>
              </w:rPr>
            </w:pPr>
            <w:r>
              <w:rPr>
                <w:rFonts w:hint="eastAsia"/>
                <w:sz w:val="21"/>
                <w:szCs w:val="21"/>
                <w:lang w:val="en-US" w:eastAsia="zh-CN"/>
              </w:rPr>
              <w:t>1</w:t>
            </w:r>
          </w:p>
        </w:tc>
        <w:tc>
          <w:tcPr>
            <w:tcW w:w="1080" w:type="dxa"/>
            <w:vAlign w:val="center"/>
          </w:tcPr>
          <w:p>
            <w:pPr>
              <w:widowControl/>
              <w:jc w:val="center"/>
              <w:rPr>
                <w:rFonts w:hint="eastAsia" w:eastAsia="宋体"/>
                <w:sz w:val="21"/>
                <w:szCs w:val="21"/>
                <w:lang w:eastAsia="zh-CN"/>
              </w:rPr>
            </w:pPr>
            <w:r>
              <w:rPr>
                <w:rFonts w:hint="eastAsia"/>
                <w:sz w:val="21"/>
                <w:szCs w:val="21"/>
                <w:lang w:eastAsia="zh-CN"/>
              </w:rPr>
              <w:t>里建校区</w:t>
            </w:r>
          </w:p>
        </w:tc>
        <w:tc>
          <w:tcPr>
            <w:tcW w:w="1427" w:type="dxa"/>
            <w:vAlign w:val="center"/>
          </w:tcPr>
          <w:p>
            <w:pPr>
              <w:widowControl/>
              <w:jc w:val="center"/>
              <w:rPr>
                <w:sz w:val="21"/>
                <w:szCs w:val="21"/>
              </w:rPr>
            </w:pPr>
          </w:p>
        </w:tc>
        <w:tc>
          <w:tcPr>
            <w:tcW w:w="1350" w:type="dxa"/>
            <w:vAlign w:val="center"/>
          </w:tcPr>
          <w:p>
            <w:pPr>
              <w:widowControl/>
              <w:jc w:val="center"/>
              <w:rPr>
                <w:sz w:val="21"/>
                <w:szCs w:val="21"/>
              </w:rPr>
            </w:pPr>
          </w:p>
        </w:tc>
        <w:tc>
          <w:tcPr>
            <w:tcW w:w="1773" w:type="dxa"/>
            <w:vAlign w:val="center"/>
          </w:tcPr>
          <w:p>
            <w:pPr>
              <w:widowControl/>
              <w:jc w:val="cente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jc w:val="center"/>
        </w:trPr>
        <w:tc>
          <w:tcPr>
            <w:tcW w:w="865" w:type="dxa"/>
            <w:vAlign w:val="center"/>
          </w:tcPr>
          <w:p>
            <w:pPr>
              <w:widowControl/>
              <w:jc w:val="center"/>
              <w:rPr>
                <w:rFonts w:hint="eastAsia" w:eastAsia="宋体"/>
                <w:sz w:val="21"/>
                <w:szCs w:val="21"/>
                <w:lang w:val="en-US" w:eastAsia="zh-CN"/>
              </w:rPr>
            </w:pPr>
            <w:r>
              <w:rPr>
                <w:rFonts w:hint="eastAsia"/>
                <w:sz w:val="21"/>
                <w:szCs w:val="21"/>
                <w:lang w:val="en-US" w:eastAsia="zh-CN"/>
              </w:rPr>
              <w:t>5</w:t>
            </w:r>
          </w:p>
        </w:tc>
        <w:tc>
          <w:tcPr>
            <w:tcW w:w="1515" w:type="dxa"/>
            <w:vAlign w:val="center"/>
          </w:tcPr>
          <w:p>
            <w:pPr>
              <w:widowControl/>
              <w:jc w:val="center"/>
              <w:rPr>
                <w:rFonts w:hint="eastAsia" w:eastAsia="宋体"/>
                <w:sz w:val="21"/>
                <w:szCs w:val="21"/>
                <w:lang w:eastAsia="zh-CN"/>
              </w:rPr>
            </w:pPr>
            <w:r>
              <w:rPr>
                <w:rFonts w:hint="eastAsia"/>
                <w:sz w:val="21"/>
                <w:szCs w:val="21"/>
                <w:lang w:eastAsia="zh-CN"/>
              </w:rPr>
              <w:t>天奥</w:t>
            </w:r>
          </w:p>
        </w:tc>
        <w:tc>
          <w:tcPr>
            <w:tcW w:w="753" w:type="dxa"/>
            <w:vAlign w:val="center"/>
          </w:tcPr>
          <w:p>
            <w:pPr>
              <w:widowControl/>
              <w:jc w:val="center"/>
              <w:rPr>
                <w:sz w:val="21"/>
                <w:szCs w:val="21"/>
              </w:rPr>
            </w:pPr>
            <w:r>
              <w:rPr>
                <w:rFonts w:hint="eastAsia"/>
                <w:sz w:val="21"/>
                <w:szCs w:val="21"/>
              </w:rPr>
              <w:t>6/6</w:t>
            </w:r>
          </w:p>
        </w:tc>
        <w:tc>
          <w:tcPr>
            <w:tcW w:w="775" w:type="dxa"/>
            <w:vAlign w:val="center"/>
          </w:tcPr>
          <w:p>
            <w:pPr>
              <w:widowControl/>
              <w:jc w:val="center"/>
              <w:rPr>
                <w:sz w:val="21"/>
                <w:szCs w:val="21"/>
              </w:rPr>
            </w:pPr>
            <w:r>
              <w:rPr>
                <w:rFonts w:hint="eastAsia"/>
                <w:sz w:val="21"/>
                <w:szCs w:val="21"/>
              </w:rPr>
              <w:t>1</w:t>
            </w:r>
          </w:p>
        </w:tc>
        <w:tc>
          <w:tcPr>
            <w:tcW w:w="1080" w:type="dxa"/>
            <w:vAlign w:val="center"/>
          </w:tcPr>
          <w:p>
            <w:pPr>
              <w:widowControl/>
              <w:jc w:val="center"/>
              <w:rPr>
                <w:rFonts w:ascii="Times New Roman" w:hAnsi="Times New Roman" w:eastAsia="宋体" w:cs="Times New Roman"/>
                <w:kern w:val="2"/>
                <w:sz w:val="21"/>
                <w:szCs w:val="21"/>
                <w:lang w:val="en-US" w:eastAsia="zh-CN" w:bidi="ar-SA"/>
              </w:rPr>
            </w:pPr>
            <w:r>
              <w:rPr>
                <w:rFonts w:hint="eastAsia"/>
                <w:sz w:val="21"/>
                <w:szCs w:val="21"/>
              </w:rPr>
              <w:t>里建校区</w:t>
            </w:r>
          </w:p>
        </w:tc>
        <w:tc>
          <w:tcPr>
            <w:tcW w:w="1427" w:type="dxa"/>
            <w:vAlign w:val="center"/>
          </w:tcPr>
          <w:p>
            <w:pPr>
              <w:widowControl/>
              <w:jc w:val="center"/>
              <w:rPr>
                <w:sz w:val="21"/>
                <w:szCs w:val="21"/>
              </w:rPr>
            </w:pPr>
          </w:p>
        </w:tc>
        <w:tc>
          <w:tcPr>
            <w:tcW w:w="1350" w:type="dxa"/>
            <w:vAlign w:val="center"/>
          </w:tcPr>
          <w:p>
            <w:pPr>
              <w:widowControl/>
              <w:jc w:val="center"/>
              <w:rPr>
                <w:sz w:val="21"/>
                <w:szCs w:val="21"/>
              </w:rPr>
            </w:pPr>
          </w:p>
        </w:tc>
        <w:tc>
          <w:tcPr>
            <w:tcW w:w="1773" w:type="dxa"/>
            <w:vAlign w:val="center"/>
          </w:tcPr>
          <w:p>
            <w:pPr>
              <w:widowControl/>
              <w:jc w:val="cente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7765" w:type="dxa"/>
            <w:gridSpan w:val="7"/>
            <w:vAlign w:val="center"/>
          </w:tcPr>
          <w:p>
            <w:pPr>
              <w:widowControl/>
              <w:jc w:val="both"/>
              <w:rPr>
                <w:rFonts w:hint="eastAsia" w:eastAsia="宋体"/>
                <w:sz w:val="21"/>
                <w:szCs w:val="21"/>
                <w:lang w:eastAsia="zh-CN"/>
              </w:rPr>
            </w:pPr>
            <w:r>
              <w:rPr>
                <w:rFonts w:hint="eastAsia"/>
                <w:sz w:val="21"/>
                <w:szCs w:val="21"/>
              </w:rPr>
              <w:t>合计</w:t>
            </w:r>
            <w:r>
              <w:rPr>
                <w:rFonts w:hint="eastAsia"/>
                <w:sz w:val="21"/>
                <w:szCs w:val="21"/>
                <w:lang w:eastAsia="zh-CN"/>
              </w:rPr>
              <w:t>：人民币（大写）</w:t>
            </w:r>
          </w:p>
        </w:tc>
        <w:tc>
          <w:tcPr>
            <w:tcW w:w="1773" w:type="dxa"/>
            <w:vAlign w:val="center"/>
          </w:tcPr>
          <w:p>
            <w:pPr>
              <w:widowControl/>
              <w:jc w:val="left"/>
              <w:rPr>
                <w:rFonts w:hint="eastAsia" w:eastAsia="宋体"/>
                <w:sz w:val="21"/>
                <w:szCs w:val="21"/>
                <w:lang w:eastAsia="zh-CN"/>
              </w:rPr>
            </w:pPr>
            <w:r>
              <w:rPr>
                <w:rFonts w:hint="default" w:ascii="Arial" w:hAnsi="Arial" w:cs="Arial"/>
                <w:sz w:val="21"/>
                <w:szCs w:val="21"/>
              </w:rPr>
              <w:t>¥</w:t>
            </w:r>
            <w:r>
              <w:rPr>
                <w:rFonts w:hint="eastAsia"/>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1" w:hRule="atLeast"/>
          <w:jc w:val="center"/>
        </w:trPr>
        <w:tc>
          <w:tcPr>
            <w:tcW w:w="865" w:type="dxa"/>
            <w:vAlign w:val="center"/>
          </w:tcPr>
          <w:p>
            <w:pPr>
              <w:widowControl/>
              <w:jc w:val="left"/>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报价要求</w:t>
            </w:r>
          </w:p>
        </w:tc>
        <w:tc>
          <w:tcPr>
            <w:tcW w:w="8673" w:type="dxa"/>
            <w:gridSpan w:val="7"/>
            <w:vAlign w:val="center"/>
          </w:tcPr>
          <w:p>
            <w:pPr>
              <w:widowControl/>
              <w:ind w:firstLine="420" w:firstLineChars="200"/>
              <w:jc w:val="left"/>
              <w:rPr>
                <w:rFonts w:ascii="宋体" w:hAnsi="宋体" w:cs="宋体"/>
                <w:color w:val="000000"/>
                <w:kern w:val="0"/>
                <w:sz w:val="21"/>
                <w:szCs w:val="21"/>
              </w:rPr>
            </w:pPr>
            <w:r>
              <w:rPr>
                <w:rFonts w:hint="eastAsia" w:ascii="宋体" w:hAnsi="宋体" w:cs="宋体"/>
                <w:color w:val="000000"/>
                <w:kern w:val="0"/>
                <w:sz w:val="21"/>
                <w:szCs w:val="21"/>
              </w:rPr>
              <w:t>1、维护保养服务费用</w:t>
            </w:r>
            <w:r>
              <w:rPr>
                <w:rFonts w:hint="eastAsia" w:ascii="宋体" w:hAnsi="宋体" w:cs="宋体"/>
                <w:color w:val="000000"/>
                <w:kern w:val="0"/>
                <w:sz w:val="21"/>
                <w:szCs w:val="21"/>
                <w:lang w:eastAsia="zh-CN"/>
              </w:rPr>
              <w:t>应</w:t>
            </w:r>
            <w:r>
              <w:rPr>
                <w:rFonts w:hint="eastAsia" w:ascii="宋体" w:hAnsi="宋体" w:cs="宋体"/>
                <w:color w:val="000000"/>
                <w:kern w:val="0"/>
                <w:sz w:val="21"/>
                <w:szCs w:val="21"/>
              </w:rPr>
              <w:t>包含一般故障维修的人工费用、每月两次的维护保养服务费用、电梯年检的人工配合费用；</w:t>
            </w:r>
          </w:p>
          <w:p>
            <w:pPr>
              <w:widowControl/>
              <w:ind w:firstLine="420" w:firstLineChars="200"/>
              <w:jc w:val="left"/>
              <w:rPr>
                <w:rFonts w:ascii="宋体" w:hAnsi="宋体" w:cs="宋体"/>
                <w:color w:val="000000"/>
                <w:kern w:val="0"/>
                <w:sz w:val="21"/>
                <w:szCs w:val="21"/>
              </w:rPr>
            </w:pPr>
            <w:r>
              <w:rPr>
                <w:rFonts w:hint="eastAsia" w:ascii="宋体" w:hAnsi="宋体" w:cs="宋体"/>
                <w:color w:val="000000"/>
                <w:kern w:val="0"/>
                <w:sz w:val="21"/>
                <w:szCs w:val="21"/>
              </w:rPr>
              <w:t xml:space="preserve">2、免费提供电梯责任保险一份（每梯/每次赔偿额限额300万元，每人/每次人身伤亡100万元，险种包含与电梯相关的一切意外伤害及财产损失赔付。 ) </w:t>
            </w:r>
          </w:p>
          <w:p>
            <w:pPr>
              <w:widowControl/>
              <w:ind w:firstLine="420" w:firstLineChars="200"/>
              <w:jc w:val="left"/>
              <w:rPr>
                <w:rFonts w:ascii="宋体" w:hAnsi="宋体" w:cs="宋体"/>
                <w:color w:val="000000"/>
                <w:kern w:val="0"/>
                <w:sz w:val="21"/>
                <w:szCs w:val="21"/>
              </w:rPr>
            </w:pPr>
            <w:r>
              <w:rPr>
                <w:rFonts w:ascii="宋体" w:hAnsi="宋体" w:cs="宋体"/>
                <w:color w:val="000000"/>
                <w:kern w:val="0"/>
                <w:sz w:val="21"/>
                <w:szCs w:val="21"/>
              </w:rPr>
              <w:t>3</w:t>
            </w:r>
            <w:r>
              <w:rPr>
                <w:rFonts w:hint="eastAsia" w:ascii="宋体" w:hAnsi="宋体" w:cs="宋体"/>
                <w:color w:val="000000"/>
                <w:kern w:val="0"/>
                <w:sz w:val="21"/>
                <w:szCs w:val="21"/>
              </w:rPr>
              <w:t>、包含本年度内电电梯润滑油、电梯年检所产生得年检费、电梯限速器校验、电梯平衡系（磅梯）。</w:t>
            </w:r>
          </w:p>
          <w:p>
            <w:pPr>
              <w:widowControl/>
              <w:ind w:firstLine="420" w:firstLineChars="200"/>
              <w:jc w:val="left"/>
              <w:rPr>
                <w:sz w:val="21"/>
                <w:szCs w:val="21"/>
              </w:rPr>
            </w:pPr>
            <w:r>
              <w:rPr>
                <w:rFonts w:hint="eastAsia" w:ascii="宋体" w:hAnsi="宋体" w:cs="宋体"/>
                <w:color w:val="000000"/>
                <w:kern w:val="0"/>
                <w:sz w:val="21"/>
                <w:szCs w:val="21"/>
              </w:rPr>
              <w:t>4、不包含本</w:t>
            </w:r>
            <w:r>
              <w:rPr>
                <w:rFonts w:hint="eastAsia" w:ascii="宋体" w:hAnsi="宋体" w:cs="宋体"/>
                <w:color w:val="000000"/>
                <w:kern w:val="0"/>
                <w:sz w:val="21"/>
                <w:szCs w:val="21"/>
                <w:lang w:eastAsia="zh-CN"/>
              </w:rPr>
              <w:t>项目服务过程中因</w:t>
            </w:r>
            <w:r>
              <w:rPr>
                <w:rFonts w:hint="eastAsia" w:ascii="宋体" w:hAnsi="宋体" w:cs="宋体"/>
                <w:color w:val="000000"/>
                <w:kern w:val="0"/>
                <w:sz w:val="21"/>
                <w:szCs w:val="21"/>
              </w:rPr>
              <w:t>更换零配件费用及大型配件（更换控制柜、钢丝绳、曳引机、导向轮等）</w:t>
            </w:r>
            <w:r>
              <w:rPr>
                <w:rFonts w:hint="eastAsia" w:ascii="宋体" w:hAnsi="宋体" w:cs="宋体"/>
                <w:color w:val="000000"/>
                <w:kern w:val="0"/>
                <w:sz w:val="21"/>
                <w:szCs w:val="21"/>
                <w:lang w:eastAsia="zh-CN"/>
              </w:rPr>
              <w:t>产生的</w:t>
            </w:r>
            <w:r>
              <w:rPr>
                <w:rFonts w:hint="eastAsia" w:ascii="宋体" w:hAnsi="宋体" w:cs="宋体"/>
                <w:color w:val="000000"/>
                <w:kern w:val="0"/>
                <w:sz w:val="21"/>
                <w:szCs w:val="21"/>
              </w:rPr>
              <w:t>维修人工费。</w:t>
            </w:r>
          </w:p>
        </w:tc>
      </w:tr>
    </w:tbl>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注：所有价格均用人民币表示，单位为元，精确到</w:t>
      </w:r>
      <w:r>
        <w:rPr>
          <w:rFonts w:hint="eastAsia" w:ascii="宋体" w:hAnsi="宋体"/>
          <w:color w:val="auto"/>
          <w:sz w:val="21"/>
          <w:szCs w:val="21"/>
          <w:highlight w:val="none"/>
          <w:lang w:eastAsia="zh-CN"/>
        </w:rPr>
        <w:t>小数点后两</w:t>
      </w:r>
      <w:r>
        <w:rPr>
          <w:rFonts w:hint="eastAsia" w:ascii="宋体" w:hAnsi="宋体"/>
          <w:color w:val="auto"/>
          <w:sz w:val="21"/>
          <w:szCs w:val="21"/>
          <w:highlight w:val="none"/>
        </w:rPr>
        <w:t>位。</w:t>
      </w:r>
    </w:p>
    <w:p>
      <w:pPr>
        <w:pStyle w:val="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hAnsi="宋体"/>
          <w:color w:val="auto"/>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Ansi="宋体"/>
          <w:color w:val="auto"/>
          <w:sz w:val="24"/>
          <w:szCs w:val="24"/>
          <w:highlight w:val="none"/>
          <w:u w:val="single"/>
        </w:rPr>
      </w:pPr>
      <w:r>
        <w:rPr>
          <w:rFonts w:hint="eastAsia" w:hAnsi="宋体"/>
          <w:color w:val="auto"/>
          <w:sz w:val="24"/>
          <w:szCs w:val="24"/>
          <w:highlight w:val="none"/>
        </w:rPr>
        <w:t>法定代表人或法定代表人授权代表（签字）:</w:t>
      </w:r>
      <w:r>
        <w:rPr>
          <w:rFonts w:hint="eastAsia" w:hAnsi="宋体"/>
          <w:color w:val="auto"/>
          <w:sz w:val="24"/>
          <w:szCs w:val="24"/>
          <w:highlight w:val="none"/>
          <w:u w:val="single"/>
        </w:rPr>
        <w:t xml:space="preserve">              </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Ansi="宋体"/>
          <w:color w:val="auto"/>
          <w:sz w:val="24"/>
          <w:szCs w:val="24"/>
          <w:highlight w:val="none"/>
          <w:u w:val="single"/>
        </w:rPr>
      </w:pPr>
      <w:r>
        <w:rPr>
          <w:rFonts w:hint="eastAsia" w:hAnsi="宋体"/>
          <w:color w:val="auto"/>
          <w:sz w:val="24"/>
          <w:szCs w:val="24"/>
          <w:highlight w:val="none"/>
          <w:lang w:eastAsia="zh-CN"/>
        </w:rPr>
        <w:t>维保</w:t>
      </w:r>
      <w:r>
        <w:rPr>
          <w:rFonts w:hint="eastAsia" w:hAnsi="宋体"/>
          <w:color w:val="auto"/>
          <w:sz w:val="24"/>
          <w:szCs w:val="24"/>
          <w:highlight w:val="none"/>
        </w:rPr>
        <w:t>供应商名称（盖章）：</w:t>
      </w:r>
      <w:r>
        <w:rPr>
          <w:rFonts w:hint="eastAsia" w:hAnsi="宋体"/>
          <w:color w:val="auto"/>
          <w:sz w:val="24"/>
          <w:szCs w:val="24"/>
          <w:highlight w:val="none"/>
          <w:u w:val="single"/>
        </w:rPr>
        <w:t xml:space="preserve">                              </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hAnsi="宋体"/>
          <w:color w:val="auto"/>
          <w:sz w:val="24"/>
          <w:szCs w:val="24"/>
          <w:highlight w:val="none"/>
        </w:rPr>
        <w:t>报价时间：</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 xml:space="preserve">日 </w:t>
      </w: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915117"/>
    <w:multiLevelType w:val="singleLevel"/>
    <w:tmpl w:val="3291511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BE49E6"/>
    <w:rsid w:val="131C0CEA"/>
    <w:rsid w:val="1BE01BEA"/>
    <w:rsid w:val="46475E01"/>
    <w:rsid w:val="49BE49E6"/>
    <w:rsid w:val="62B36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kern w:val="0"/>
      <w:sz w:val="20"/>
      <w:szCs w:val="21"/>
    </w:rPr>
  </w:style>
  <w:style w:type="table" w:styleId="4">
    <w:name w:val="Table Grid"/>
    <w:basedOn w:val="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2021-07-09T01:39:00Z</dcterms:created>
  <dc:creator>[资产-收发秘书]李泳</dc:creator>
  <cp:lastModifiedBy>[资产-收发秘书]李泳</cp:lastModifiedBy>
  <dcterms:modified xsi:type="dcterms:W3CDTF">2021-07-09T01:42:56Z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D378F2E721E04BDBB553BDC54D332DE2</vt:lpwstr>
  </property>
</Properties>
</file>